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wmf" ContentType="image/x-wmf"/>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2.xml" ContentType="application/xml"/>
  <Override PartName="/customXml/itemProps1.xml" ContentType="application/vnd.openxmlformats-officedocument.customXmlProperties+xml"/>
  <Override PartName="/customXml/item3.xml" ContentType="application/xml"/>
  <Override PartName="/customXml/itemProps2.xml" ContentType="application/vnd.openxmlformats-officedocument.customXmlProperties+xml"/>
  <Override PartName="/customXml/item4.xml" ContentType="application/xml"/>
  <Override PartName="/customXml/itemProps3.xml" ContentType="application/vnd.openxmlformats-officedocument.customXmlProperties+xml"/>
  <Override PartName="/customXml/itemProps4.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Arial" w:hAnsi="Arial" w:cs="Arial"/>
          <w:b/>
          <w:b/>
          <w:bCs/>
          <w:i/>
          <w:i/>
          <w:iCs/>
          <w:color w:val="FF0000"/>
          <w:sz w:val="20"/>
          <w:szCs w:val="20"/>
        </w:rPr>
      </w:pPr>
      <w:r>
        <w:rPr>
          <w:rFonts w:cs="Arial" w:ascii="Arial" w:hAnsi="Arial"/>
          <w:b/>
          <w:bCs/>
          <w:i/>
          <w:iCs/>
          <w:color w:val="FF0000"/>
          <w:sz w:val="20"/>
          <w:szCs w:val="20"/>
        </w:rPr>
      </w:r>
    </w:p>
    <w:p>
      <w:pPr>
        <w:pStyle w:val="Normal"/>
        <w:jc w:val="center"/>
        <w:rPr>
          <w:rFonts w:ascii="Arial" w:hAnsi="Arial" w:eastAsia="Times New Roman" w:cs="Arial"/>
          <w:b/>
          <w:b/>
          <w:i/>
          <w:i/>
          <w:color w:val="FF0000"/>
          <w:sz w:val="20"/>
          <w:szCs w:val="20"/>
        </w:rPr>
      </w:pPr>
      <w:r>
        <w:rPr/>
        <w:drawing>
          <wp:inline distT="0" distB="0" distL="0" distR="0">
            <wp:extent cx="673735" cy="724535"/>
            <wp:effectExtent l="0" t="0" r="0" b="0"/>
            <wp:docPr id="1" name="1" descr="Objeto 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 descr="Objeto OLE"/>
                    <pic:cNvPicPr>
                      <a:picLocks noChangeAspect="1" noChangeArrowheads="1"/>
                    </pic:cNvPicPr>
                  </pic:nvPicPr>
                  <pic:blipFill>
                    <a:blip r:embed="rId2"/>
                    <a:stretch>
                      <a:fillRect/>
                    </a:stretch>
                  </pic:blipFill>
                  <pic:spPr bwMode="auto">
                    <a:xfrm>
                      <a:off x="0" y="0"/>
                      <a:ext cx="673735" cy="724535"/>
                    </a:xfrm>
                    <a:prstGeom prst="rect">
                      <a:avLst/>
                    </a:prstGeom>
                  </pic:spPr>
                </pic:pic>
              </a:graphicData>
            </a:graphic>
          </wp:inline>
        </w:drawing>
      </w:r>
    </w:p>
    <w:p>
      <w:pPr>
        <w:pStyle w:val="Normal"/>
        <w:spacing w:lineRule="auto" w:line="240"/>
        <w:jc w:val="center"/>
        <w:rPr>
          <w:rFonts w:ascii="Times New Roman" w:hAnsi="Times New Roman" w:eastAsia="Times New Roman" w:cs="Times New Roman"/>
          <w:b/>
          <w:b/>
          <w:color w:val="auto"/>
          <w:sz w:val="24"/>
          <w:shd w:fill="auto" w:val="clear"/>
        </w:rPr>
      </w:pPr>
      <w:r>
        <w:rPr>
          <w:rFonts w:eastAsia="Times New Roman" w:cs="Times New Roman" w:ascii="Times New Roman" w:hAnsi="Times New Roman"/>
          <w:b/>
          <w:color w:val="000000"/>
          <w:sz w:val="24"/>
          <w:shd w:fill="auto" w:val="clear"/>
        </w:rPr>
        <w:t>MINISTÉRIO DA DEFESA</w:t>
      </w:r>
    </w:p>
    <w:p>
      <w:pPr>
        <w:pStyle w:val="Normal"/>
        <w:spacing w:lineRule="auto" w:line="240"/>
        <w:jc w:val="center"/>
        <w:rPr>
          <w:rFonts w:ascii="Times New Roman" w:hAnsi="Times New Roman" w:eastAsia="Times New Roman" w:cs="Times New Roman"/>
          <w:b/>
          <w:b/>
          <w:color w:val="auto"/>
          <w:sz w:val="24"/>
          <w:shd w:fill="auto" w:val="clear"/>
        </w:rPr>
      </w:pPr>
      <w:r>
        <w:rPr>
          <w:rFonts w:eastAsia="Times New Roman" w:cs="Times New Roman" w:ascii="Times New Roman" w:hAnsi="Times New Roman"/>
          <w:b/>
          <w:color w:val="000000"/>
          <w:sz w:val="24"/>
          <w:shd w:fill="auto" w:val="clear"/>
        </w:rPr>
        <w:t>EXÉRCITO BRASILEIRO</w:t>
      </w:r>
    </w:p>
    <w:p>
      <w:pPr>
        <w:pStyle w:val="Normal"/>
        <w:spacing w:lineRule="auto" w:line="240"/>
        <w:jc w:val="center"/>
        <w:rPr>
          <w:rFonts w:ascii="Times New Roman" w:hAnsi="Times New Roman" w:eastAsia="Times New Roman" w:cs="Times New Roman"/>
          <w:b/>
          <w:b/>
          <w:color w:val="auto"/>
          <w:sz w:val="24"/>
          <w:shd w:fill="auto" w:val="clear"/>
        </w:rPr>
      </w:pPr>
      <w:r>
        <w:rPr>
          <w:rFonts w:eastAsia="Times New Roman" w:cs="Times New Roman" w:ascii="Times New Roman" w:hAnsi="Times New Roman"/>
          <w:b/>
          <w:color w:val="000000"/>
          <w:sz w:val="24"/>
          <w:shd w:fill="auto" w:val="clear"/>
        </w:rPr>
        <w:t>CMNE – 7ª RM</w:t>
      </w:r>
    </w:p>
    <w:p>
      <w:pPr>
        <w:pStyle w:val="Normal"/>
        <w:spacing w:lineRule="auto" w:line="240"/>
        <w:jc w:val="center"/>
        <w:rPr>
          <w:rFonts w:ascii="Times New Roman" w:hAnsi="Times New Roman" w:eastAsia="Times New Roman" w:cs="Times New Roman"/>
          <w:b/>
          <w:b/>
          <w:color w:val="auto"/>
          <w:sz w:val="24"/>
          <w:shd w:fill="auto" w:val="clear"/>
        </w:rPr>
      </w:pPr>
      <w:r>
        <w:rPr>
          <w:rFonts w:eastAsia="Times New Roman" w:cs="Times New Roman" w:ascii="Times New Roman" w:hAnsi="Times New Roman"/>
          <w:b/>
          <w:color w:val="000000"/>
          <w:sz w:val="24"/>
          <w:shd w:fill="auto" w:val="clear"/>
        </w:rPr>
        <w:t>PARQUE REGIONAL DE MANUTENÇÃO/7</w:t>
      </w:r>
    </w:p>
    <w:p>
      <w:pPr>
        <w:pStyle w:val="Normal"/>
        <w:spacing w:lineRule="auto" w:line="240"/>
        <w:jc w:val="center"/>
        <w:rPr>
          <w:rFonts w:ascii="Times New Roman" w:hAnsi="Times New Roman" w:eastAsia="Times New Roman" w:cs="Times New Roman"/>
          <w:b/>
          <w:b/>
          <w:color w:val="auto"/>
          <w:sz w:val="24"/>
          <w:shd w:fill="auto" w:val="clear"/>
        </w:rPr>
      </w:pPr>
      <w:r>
        <w:rPr>
          <w:rFonts w:eastAsia="Times New Roman" w:cs="Times New Roman" w:ascii="Times New Roman" w:hAnsi="Times New Roman"/>
          <w:b/>
          <w:color w:val="000000"/>
          <w:sz w:val="24"/>
          <w:shd w:fill="auto" w:val="clear"/>
        </w:rPr>
        <w:t>(Pq R MB/7ª RM/1947)</w:t>
      </w:r>
    </w:p>
    <w:p>
      <w:pPr>
        <w:pStyle w:val="Normal"/>
        <w:spacing w:lineRule="auto" w:line="240"/>
        <w:jc w:val="center"/>
        <w:rPr>
          <w:rFonts w:ascii="Times New Roman" w:hAnsi="Times New Roman" w:eastAsia="Times New Roman" w:cs="Times New Roman"/>
          <w:b/>
          <w:b/>
          <w:color w:val="000000"/>
          <w:sz w:val="24"/>
          <w:shd w:fill="auto" w:val="clear"/>
        </w:rPr>
      </w:pPr>
      <w:r>
        <w:rPr>
          <w:rFonts w:eastAsia="Times New Roman" w:cs="Times New Roman" w:ascii="Times New Roman" w:hAnsi="Times New Roman"/>
          <w:b/>
          <w:color w:val="000000"/>
          <w:sz w:val="24"/>
          <w:shd w:fill="auto" w:val="clear"/>
        </w:rPr>
        <w:t>PARQUE DE MANUTENÇÃO BATALHA DE CASA FORTE</w:t>
      </w:r>
    </w:p>
    <w:p>
      <w:pPr>
        <w:pStyle w:val="Normal"/>
        <w:spacing w:lineRule="auto" w:line="240"/>
        <w:ind w:left="0" w:right="0" w:firstLine="360"/>
        <w:jc w:val="center"/>
        <w:rPr/>
      </w:pPr>
      <w:r>
        <w:rPr>
          <w:rFonts w:eastAsia="Times New Roman" w:cs="Times New Roman" w:ascii="Times New Roman" w:hAnsi="Times New Roman"/>
          <w:b/>
          <w:color w:val="000000"/>
          <w:sz w:val="24"/>
          <w:shd w:fill="FFFFFF" w:val="clear"/>
        </w:rPr>
        <w:t>(</w:t>
      </w:r>
      <w:r>
        <w:rPr>
          <w:rFonts w:eastAsia="Times New Roman" w:cs="Times New Roman" w:ascii="Times New Roman" w:hAnsi="Times New Roman"/>
          <w:b w:val="false"/>
          <w:color w:val="000000"/>
          <w:sz w:val="26"/>
          <w:shd w:fill="FFFFFF" w:val="clear"/>
        </w:rPr>
        <w:t>Av. 17 de Agosto, 784, Casa Forte, Recife – PE,CEP</w:t>
      </w:r>
      <w:r>
        <w:rPr>
          <w:rFonts w:eastAsia="Times New Roman" w:cs="Times New Roman" w:ascii="Times New Roman" w:hAnsi="Times New Roman"/>
          <w:b w:val="false"/>
          <w:i/>
          <w:iCs/>
          <w:color w:val="000000"/>
          <w:sz w:val="26"/>
          <w:shd w:fill="FFFFFF" w:val="clear"/>
        </w:rPr>
        <w:t xml:space="preserve"> 52.060-590</w:t>
      </w:r>
      <w:r>
        <w:rPr>
          <w:rFonts w:eastAsia="Times New Roman" w:cs="Times New Roman" w:ascii="Times New Roman" w:hAnsi="Times New Roman"/>
          <w:b w:val="false"/>
          <w:i/>
          <w:iCs/>
          <w:color w:val="000000"/>
          <w:sz w:val="30"/>
          <w:shd w:fill="FFFFFF" w:val="clear"/>
        </w:rPr>
        <w:t>)</w:t>
      </w:r>
    </w:p>
    <w:p>
      <w:pPr>
        <w:pStyle w:val="Normal"/>
        <w:tabs>
          <w:tab w:val="clear" w:pos="408"/>
          <w:tab w:val="left" w:pos="-720" w:leader="none"/>
        </w:tabs>
        <w:spacing w:lineRule="auto" w:line="360" w:before="63" w:after="231"/>
        <w:ind w:left="0" w:right="0" w:hanging="0"/>
        <w:jc w:val="center"/>
        <w:rPr>
          <w:i w:val="false"/>
          <w:i w:val="false"/>
          <w:iCs w:val="false"/>
        </w:rPr>
      </w:pPr>
      <w:r>
        <w:rPr>
          <w:rFonts w:eastAsia="Times New Roman" w:cs="Arial" w:ascii="Times New Roman" w:hAnsi="Times New Roman"/>
          <w:b/>
          <w:bCs/>
          <w:i w:val="false"/>
          <w:iCs w:val="false"/>
          <w:color w:val="000000"/>
          <w:sz w:val="20"/>
          <w:szCs w:val="20"/>
          <w:shd w:fill="auto" w:val="clear"/>
        </w:rPr>
        <w:t xml:space="preserve">(Processo Administrativo nº </w:t>
      </w:r>
      <w:r>
        <w:rPr>
          <w:rFonts w:eastAsia="Times New Roman" w:cs="Arial" w:ascii="Arial" w:hAnsi="Arial"/>
          <w:b/>
          <w:bCs/>
          <w:i w:val="false"/>
          <w:iCs w:val="false"/>
          <w:color w:val="000000"/>
          <w:sz w:val="20"/>
          <w:szCs w:val="20"/>
          <w:shd w:fill="auto" w:val="clear"/>
        </w:rPr>
        <w:t>64621.001</w:t>
      </w:r>
      <w:r>
        <w:rPr>
          <w:rFonts w:eastAsia="Times New Roman" w:cs="Arial" w:ascii="Arial" w:hAnsi="Arial"/>
          <w:b/>
          <w:bCs/>
          <w:i w:val="false"/>
          <w:iCs w:val="false"/>
          <w:color w:val="000000"/>
          <w:sz w:val="20"/>
          <w:szCs w:val="20"/>
          <w:shd w:fill="auto" w:val="clear"/>
          <w:lang w:eastAsia="pt-BR"/>
        </w:rPr>
        <w:t>305</w:t>
      </w:r>
      <w:r>
        <w:rPr>
          <w:rFonts w:eastAsia="Times New Roman" w:cs="Arial" w:ascii="Arial" w:hAnsi="Arial"/>
          <w:b/>
          <w:bCs/>
          <w:i w:val="false"/>
          <w:iCs w:val="false"/>
          <w:color w:val="000000"/>
          <w:sz w:val="20"/>
          <w:szCs w:val="20"/>
          <w:shd w:fill="auto" w:val="clear"/>
        </w:rPr>
        <w:t>/2024-90</w:t>
      </w:r>
      <w:r>
        <w:rPr>
          <w:rFonts w:eastAsia="Times New Roman" w:cs="Arial" w:ascii="Times New Roman" w:hAnsi="Times New Roman"/>
          <w:b/>
          <w:bCs/>
          <w:i w:val="false"/>
          <w:iCs w:val="false"/>
          <w:color w:val="000000"/>
          <w:sz w:val="20"/>
          <w:szCs w:val="20"/>
          <w:shd w:fill="auto" w:val="clear"/>
        </w:rPr>
        <w:t>)</w:t>
      </w:r>
    </w:p>
    <w:p>
      <w:pPr>
        <w:pStyle w:val="Nivel01"/>
        <w:keepNext w:val="true"/>
        <w:keepLines/>
        <w:widowControl/>
        <w:numPr>
          <w:ilvl w:val="0"/>
          <w:numId w:val="4"/>
        </w:numPr>
        <w:bidi w:val="0"/>
        <w:spacing w:lineRule="auto" w:line="276"/>
        <w:ind w:left="0" w:hanging="0"/>
        <w:jc w:val="both"/>
        <w:rPr>
          <w:rFonts w:eastAsia="Arial"/>
        </w:rPr>
      </w:pPr>
      <w:r>
        <w:rPr/>
        <w:t>CONDIÇÕES GERAIS DA CONTRATAÇÃO</w:t>
      </w:r>
    </w:p>
    <w:p>
      <w:pPr>
        <w:pStyle w:val="Nivel2"/>
        <w:numPr>
          <w:ilvl w:val="1"/>
          <w:numId w:val="183"/>
        </w:numPr>
        <w:ind w:left="0" w:right="0" w:hanging="0"/>
        <w:rPr>
          <w:b/>
          <w:b/>
          <w:bCs/>
        </w:rPr>
      </w:pPr>
      <w:r>
        <w:rPr>
          <w:b w:val="false"/>
          <w:bCs w:val="false"/>
          <w:color w:val="000000"/>
        </w:rPr>
        <w:t>Aquisição de peças de viaturas genuínas ou originais que atendam a norma da ABNT 15296 -  GCALC 7ª RM compreendendo as Guarnições de Recife, Olinda e Jaboatão dos Guararapes e unidades autorizadas pelo Comando da 7ª RM</w:t>
      </w:r>
      <w:r>
        <w:rPr>
          <w:b/>
          <w:bCs/>
        </w:rPr>
        <w:t>,</w:t>
      </w:r>
      <w:r>
        <w:rPr/>
        <w:t xml:space="preserve"> nos termos da tabela abaixo, conforme condições e exigências estabelecidas neste instrumento.</w:t>
      </w:r>
    </w:p>
    <w:tbl>
      <w:tblPr>
        <w:tblW w:w="9705" w:type="dxa"/>
        <w:jc w:val="left"/>
        <w:tblInd w:w="189" w:type="dxa"/>
        <w:tblLayout w:type="fixed"/>
        <w:tblCellMar>
          <w:top w:w="0" w:type="dxa"/>
          <w:left w:w="108" w:type="dxa"/>
          <w:bottom w:w="0" w:type="dxa"/>
          <w:right w:w="108" w:type="dxa"/>
        </w:tblCellMar>
        <w:tblLook w:firstRow="1" w:noVBand="1" w:lastRow="0" w:firstColumn="1" w:lastColumn="0" w:noHBand="0" w:val="04a0"/>
      </w:tblPr>
      <w:tblGrid>
        <w:gridCol w:w="567"/>
        <w:gridCol w:w="4894"/>
        <w:gridCol w:w="1063"/>
        <w:gridCol w:w="796"/>
        <w:gridCol w:w="1292"/>
        <w:gridCol w:w="1092"/>
      </w:tblGrid>
      <w:tr>
        <w:trPr>
          <w:trHeight w:val="1020" w:hRule="atLeast"/>
        </w:trPr>
        <w:tc>
          <w:tcPr>
            <w:tcW w:w="5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themeColor="text1"/>
                <w:sz w:val="18"/>
                <w:szCs w:val="18"/>
              </w:rPr>
              <w:t>ITEM</w:t>
            </w:r>
          </w:p>
        </w:tc>
        <w:tc>
          <w:tcPr>
            <w:tcW w:w="48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0" w:after="117"/>
              <w:jc w:val="center"/>
              <w:rPr>
                <w:rFonts w:ascii="Times New Roman" w:hAnsi="Times New Roman" w:eastAsia="Arial" w:cs="Arial"/>
                <w:color w:val="000000"/>
                <w:sz w:val="18"/>
                <w:szCs w:val="18"/>
              </w:rPr>
            </w:pPr>
            <w:r>
              <w:rPr>
                <w:rFonts w:eastAsia="Arial" w:cs="Arial" w:ascii="Times New Roman" w:hAnsi="Times New Roman"/>
                <w:b/>
                <w:bCs/>
                <w:color w:val="000000" w:themeColor="text1"/>
                <w:sz w:val="18"/>
                <w:szCs w:val="18"/>
              </w:rPr>
              <w:t>ESPECIFICAÇÃO</w:t>
            </w:r>
          </w:p>
        </w:tc>
        <w:tc>
          <w:tcPr>
            <w:tcW w:w="1063"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0" w:after="3"/>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CATMAT</w:t>
            </w:r>
          </w:p>
        </w:tc>
        <w:tc>
          <w:tcPr>
            <w:tcW w:w="796"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0" w:after="3"/>
              <w:jc w:val="center"/>
              <w:rPr>
                <w:rFonts w:ascii="Times New Roman" w:hAnsi="Times New Roman" w:eastAsia="Arial" w:cs="Arial"/>
                <w:b/>
                <w:b/>
                <w:bCs/>
                <w:color w:val="000000"/>
                <w:sz w:val="18"/>
                <w:szCs w:val="18"/>
              </w:rPr>
            </w:pPr>
            <w:r>
              <w:rPr>
                <w:rFonts w:eastAsia="Arial" w:cs="Arial" w:ascii="Times New Roman" w:hAnsi="Times New Roman"/>
                <w:b/>
                <w:bCs/>
                <w:color w:val="000000" w:themeColor="text1"/>
                <w:sz w:val="18"/>
                <w:szCs w:val="18"/>
              </w:rPr>
              <w:t>UNID. DE MEDIDA</w:t>
            </w:r>
          </w:p>
        </w:tc>
        <w:tc>
          <w:tcPr>
            <w:tcW w:w="1292"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lang w:eastAsia="pt-BR"/>
              </w:rPr>
            </w:pPr>
            <w:r>
              <w:rPr>
                <w:rFonts w:eastAsia="Arial" w:cs="Arial" w:ascii="Times New Roman" w:hAnsi="Times New Roman"/>
                <w:b/>
                <w:bCs/>
                <w:color w:val="000000"/>
                <w:sz w:val="18"/>
                <w:szCs w:val="18"/>
                <w:lang w:eastAsia="pt-BR"/>
              </w:rPr>
              <w:t>DESCONTO MÍNIMO ACEITÁVEL</w:t>
            </w:r>
          </w:p>
        </w:tc>
        <w:tc>
          <w:tcPr>
            <w:tcW w:w="109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bidi w:val="0"/>
              <w:spacing w:lineRule="auto" w:line="312" w:before="120" w:after="288"/>
              <w:ind w:left="-57" w:right="-113" w:hanging="0"/>
              <w:jc w:val="center"/>
              <w:rPr>
                <w:rFonts w:ascii="Times New Roman" w:hAnsi="Times New Roman" w:eastAsia="Arial" w:cs="Arial"/>
                <w:b/>
                <w:b/>
                <w:bCs/>
                <w:color w:val="000000"/>
                <w:sz w:val="18"/>
                <w:szCs w:val="18"/>
                <w:lang w:eastAsia="pt-BR"/>
              </w:rPr>
            </w:pPr>
            <w:r>
              <w:rPr>
                <w:rFonts w:eastAsia="Arial" w:cs="Arial" w:ascii="Times New Roman" w:hAnsi="Times New Roman"/>
                <w:b/>
                <w:bCs/>
                <w:color w:val="000000" w:themeColor="text1"/>
                <w:kern w:val="0"/>
                <w:sz w:val="18"/>
                <w:szCs w:val="18"/>
                <w:lang w:val="pt-BR" w:eastAsia="pt-BR" w:bidi="ar-SA"/>
              </w:rPr>
              <w:t>VALOR ESTIMADO (R$)</w:t>
            </w:r>
          </w:p>
        </w:tc>
      </w:tr>
      <w:tr>
        <w:trPr>
          <w:trHeight w:val="1281" w:hRule="atLeast"/>
        </w:trPr>
        <w:tc>
          <w:tcPr>
            <w:tcW w:w="5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themeColor="text1"/>
                <w:sz w:val="18"/>
                <w:szCs w:val="18"/>
              </w:rPr>
              <w:t>1</w:t>
            </w:r>
          </w:p>
        </w:tc>
        <w:tc>
          <w:tcPr>
            <w:tcW w:w="48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tabs>
                <w:tab w:val="clear" w:pos="408"/>
              </w:tabs>
              <w:suppressAutoHyphens w:val="true"/>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color w:val="000000"/>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color w:val="000000"/>
                <w:kern w:val="2"/>
                <w:sz w:val="18"/>
                <w:szCs w:val="18"/>
                <w:u w:val="none"/>
                <w:em w:val="none"/>
              </w:rPr>
              <w:t>FORD</w:t>
            </w:r>
            <w:r>
              <w:rPr>
                <w:rFonts w:eastAsia="Arial" w:cs="Arial" w:ascii="Times New Roman" w:hAnsi="Times New Roman"/>
                <w:b w:val="false"/>
                <w:i w:val="false"/>
                <w:strike w:val="false"/>
                <w:dstrike w:val="false"/>
                <w:outline w:val="false"/>
                <w:shadow w:val="false"/>
                <w:color w:val="000000"/>
                <w:kern w:val="2"/>
                <w:sz w:val="18"/>
                <w:szCs w:val="18"/>
                <w:u w:val="none"/>
                <w:em w:val="none"/>
              </w:rPr>
              <w:t>, MODELOS: TODOS, ANO: TODOS.</w:t>
            </w:r>
          </w:p>
        </w:tc>
        <w:tc>
          <w:tcPr>
            <w:tcW w:w="1063"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top w:val="single" w:sz="4" w:space="0" w:color="000000"/>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Times New Roman" w:hAnsi="Times New Roman"/>
                <w:b/>
                <w:b/>
                <w:bCs/>
                <w:sz w:val="18"/>
                <w:szCs w:val="18"/>
              </w:rPr>
            </w:pPr>
            <w:r>
              <w:rPr>
                <w:rFonts w:ascii="Times New Roman" w:hAnsi="Times New Roman"/>
                <w:b/>
                <w:bCs/>
                <w:i w:val="false"/>
                <w:strike w:val="false"/>
                <w:dstrike w:val="false"/>
                <w:outline w:val="false"/>
                <w:shadow w:val="false"/>
                <w:color w:val="000000"/>
                <w:sz w:val="18"/>
                <w:szCs w:val="18"/>
                <w:u w:val="none"/>
                <w:em w:val="none"/>
              </w:rPr>
              <w:t>R$ 319.300,00</w:t>
            </w:r>
          </w:p>
          <w:p>
            <w:pPr>
              <w:pStyle w:val="Normal"/>
              <w:widowControl w:val="false"/>
              <w:jc w:val="center"/>
              <w:rPr>
                <w:rFonts w:ascii="Times New Roman" w:hAnsi="Times New Roman"/>
                <w:b/>
                <w:b/>
                <w:bCs/>
                <w:sz w:val="18"/>
                <w:szCs w:val="18"/>
              </w:rPr>
            </w:pPr>
            <w:r>
              <w:rPr>
                <w:rFonts w:ascii="Times New Roman" w:hAnsi="Times New Roman"/>
                <w:b/>
                <w:bCs/>
                <w:sz w:val="18"/>
                <w:szCs w:val="18"/>
              </w:rPr>
            </w:r>
          </w:p>
        </w:tc>
      </w:tr>
      <w:tr>
        <w:trPr/>
        <w:tc>
          <w:tcPr>
            <w:tcW w:w="5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themeColor="text1"/>
                <w:sz w:val="18"/>
                <w:szCs w:val="18"/>
              </w:rPr>
              <w:t>2</w:t>
            </w:r>
          </w:p>
        </w:tc>
        <w:tc>
          <w:tcPr>
            <w:tcW w:w="48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tabs>
                <w:tab w:val="clear" w:pos="408"/>
              </w:tabs>
              <w:suppressAutoHyphens w:val="true"/>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color w:val="000000"/>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color w:val="000000"/>
                <w:kern w:val="2"/>
                <w:sz w:val="18"/>
                <w:szCs w:val="18"/>
                <w:u w:val="none"/>
                <w:em w:val="none"/>
              </w:rPr>
              <w:t>FORD</w:t>
            </w:r>
            <w:r>
              <w:rPr>
                <w:rFonts w:eastAsia="Arial" w:cs="Arial" w:ascii="Times New Roman" w:hAnsi="Times New Roman"/>
                <w:b w:val="false"/>
                <w:i w:val="false"/>
                <w:strike w:val="false"/>
                <w:dstrike w:val="false"/>
                <w:outline w:val="false"/>
                <w:shadow w:val="false"/>
                <w:color w:val="000000"/>
                <w:kern w:val="2"/>
                <w:sz w:val="18"/>
                <w:szCs w:val="18"/>
                <w:u w:val="none"/>
                <w:em w:val="none"/>
              </w:rPr>
              <w:t>, MODELOS: TODOS, ANO: TODOS.</w:t>
            </w:r>
          </w:p>
        </w:tc>
        <w:tc>
          <w:tcPr>
            <w:tcW w:w="1063"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top w:val="single" w:sz="4" w:space="0" w:color="000000"/>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top w:val="single" w:sz="4" w:space="0" w:color="000000"/>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R$ 208.624,00</w:t>
            </w:r>
          </w:p>
        </w:tc>
      </w:tr>
      <w:tr>
        <w:trPr>
          <w:trHeight w:val="1392" w:hRule="atLeast"/>
        </w:trPr>
        <w:tc>
          <w:tcPr>
            <w:tcW w:w="5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themeColor="text1"/>
                <w:sz w:val="18"/>
                <w:szCs w:val="18"/>
              </w:rPr>
              <w:t>3</w:t>
            </w:r>
          </w:p>
        </w:tc>
        <w:tc>
          <w:tcPr>
            <w:tcW w:w="48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tabs>
                <w:tab w:val="clear" w:pos="408"/>
              </w:tabs>
              <w:suppressAutoHyphens w:val="true"/>
              <w:spacing w:lineRule="auto" w:line="312" w:before="0" w:after="0"/>
              <w:jc w:val="left"/>
              <w:rPr>
                <w:rFonts w:ascii="Times New Roman" w:hAnsi="Times New Roman" w:eastAsia="Arial" w:cs="Arial"/>
                <w:b w:val="false"/>
                <w:b w:val="false"/>
                <w:i w:val="false"/>
                <w:i w:val="false"/>
                <w:strike w:val="false"/>
                <w:dstrike w:val="false"/>
                <w:outline w:val="false"/>
                <w:shadow w:val="false"/>
                <w:color w:val="000000"/>
                <w:kern w:val="2"/>
                <w:sz w:val="18"/>
                <w:szCs w:val="18"/>
                <w:u w:val="none"/>
                <w:em w:val="none"/>
              </w:rPr>
            </w:pPr>
            <w:r>
              <w:rPr>
                <w:rFonts w:eastAsia="Arial" w:cs="Arial" w:ascii="Times New Roman" w:hAnsi="Times New Roman"/>
                <w:b w:val="false"/>
                <w:i w:val="false"/>
                <w:strike w:val="false"/>
                <w:dstrike w:val="false"/>
                <w:outline w:val="false"/>
                <w:shadow w:val="false"/>
                <w:color w:val="000000"/>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color w:val="000000"/>
                <w:kern w:val="2"/>
                <w:sz w:val="18"/>
                <w:szCs w:val="18"/>
                <w:u w:val="none"/>
                <w:em w:val="none"/>
              </w:rPr>
              <w:t>FORD</w:t>
            </w:r>
            <w:r>
              <w:rPr>
                <w:rFonts w:eastAsia="Arial" w:cs="Arial" w:ascii="Times New Roman" w:hAnsi="Times New Roman"/>
                <w:b w:val="false"/>
                <w:i w:val="false"/>
                <w:strike w:val="false"/>
                <w:dstrike w:val="false"/>
                <w:outline w:val="false"/>
                <w:shadow w:val="false"/>
                <w:color w:val="000000"/>
                <w:kern w:val="2"/>
                <w:sz w:val="18"/>
                <w:szCs w:val="18"/>
                <w:u w:val="none"/>
                <w:em w:val="none"/>
              </w:rPr>
              <w:t>, MODELOS: TODOS, ANO: TODOS.</w:t>
            </w:r>
          </w:p>
        </w:tc>
        <w:tc>
          <w:tcPr>
            <w:tcW w:w="1063"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top w:val="single" w:sz="4" w:space="0" w:color="000000"/>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top w:val="single" w:sz="4" w:space="0" w:color="000000"/>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R$ 187.600,00</w:t>
            </w:r>
          </w:p>
        </w:tc>
      </w:tr>
      <w:tr>
        <w:trPr>
          <w:trHeight w:val="1410" w:hRule="atLeast"/>
        </w:trPr>
        <w:tc>
          <w:tcPr>
            <w:tcW w:w="5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themeColor="text1"/>
                <w:sz w:val="18"/>
                <w:szCs w:val="18"/>
              </w:rPr>
              <w:t>4</w:t>
            </w:r>
          </w:p>
        </w:tc>
        <w:tc>
          <w:tcPr>
            <w:tcW w:w="48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PESADOS. MARCA: </w:t>
            </w:r>
            <w:r>
              <w:rPr>
                <w:rFonts w:eastAsia="Arial" w:cs="Arial" w:ascii="Times New Roman" w:hAnsi="Times New Roman"/>
                <w:b/>
                <w:bCs/>
                <w:i w:val="false"/>
                <w:strike w:val="false"/>
                <w:dstrike w:val="false"/>
                <w:outline w:val="false"/>
                <w:shadow w:val="false"/>
                <w:kern w:val="2"/>
                <w:sz w:val="18"/>
                <w:szCs w:val="18"/>
                <w:u w:val="none"/>
                <w:em w:val="none"/>
              </w:rPr>
              <w:t>FORD</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top w:val="single" w:sz="4" w:space="0" w:color="000000"/>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top w:val="single" w:sz="4" w:space="0" w:color="000000"/>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top w:val="single" w:sz="4" w:space="0" w:color="000000"/>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R$ 491.360,00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sz w:val="18"/>
                <w:szCs w:val="18"/>
                <w:u w:val="none"/>
                <w:em w:val="none"/>
              </w:rPr>
            </w:pPr>
            <w:r>
              <w:rPr>
                <w:rFonts w:eastAsia="Arial" w:cs="Arial" w:ascii="Times New Roman" w:hAnsi="Times New Roman"/>
                <w:b w:val="false"/>
                <w:i w:val="false"/>
                <w:strike w:val="false"/>
                <w:dstrike w:val="false"/>
                <w:outline w:val="false"/>
                <w:shadow w:val="false"/>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sz w:val="18"/>
                <w:szCs w:val="18"/>
                <w:u w:val="none"/>
                <w:em w:val="none"/>
              </w:rPr>
              <w:t>FORD</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R$ 289.420,00</w:t>
            </w:r>
          </w:p>
        </w:tc>
      </w:tr>
      <w:tr>
        <w:trPr>
          <w:trHeight w:val="1327"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FORD</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R$ 257.400,00</w:t>
            </w:r>
          </w:p>
        </w:tc>
      </w:tr>
      <w:tr>
        <w:trPr>
          <w:trHeight w:val="1305"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r>
          </w:p>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CHEVROLET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R$ 178.350,00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r>
          </w:p>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CHEVROLET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R$ 129.100,00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r>
          </w:p>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CHEVROLET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R$ 113.300,00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HYUNDAI</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R$ 49.000,00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HYUNDAI</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R$ 40.600,00</w:t>
            </w:r>
          </w:p>
        </w:tc>
      </w:tr>
      <w:tr>
        <w:trPr>
          <w:trHeight w:val="1360"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HYUNDAI</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R$ 38.600,00</w:t>
            </w:r>
          </w:p>
        </w:tc>
      </w:tr>
      <w:tr>
        <w:trPr>
          <w:trHeight w:val="1430"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MERCEDES BENZ</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R$ 261.550,00</w:t>
            </w:r>
          </w:p>
        </w:tc>
      </w:tr>
      <w:tr>
        <w:trPr>
          <w:trHeight w:val="900"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MERCEDES BENZ</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R$ 218.300,00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MERCEDES BENZ</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R$ 145.800,00</w:t>
            </w:r>
          </w:p>
        </w:tc>
      </w:tr>
      <w:tr>
        <w:trPr>
          <w:trHeight w:val="1959"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sz w:val="18"/>
                <w:szCs w:val="18"/>
                <w:u w:val="none"/>
                <w:em w:val="none"/>
              </w:rPr>
            </w:pPr>
            <w:r>
              <w:rPr>
                <w:rFonts w:eastAsia="Arial" w:cs="Arial" w:ascii="Times New Roman" w:hAnsi="Times New Roman"/>
                <w:b w:val="false"/>
                <w:i w:val="false"/>
                <w:strike w:val="false"/>
                <w:dstrike w:val="false"/>
                <w:outline w:val="false"/>
                <w:shadow w:val="false"/>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sz w:val="18"/>
                <w:szCs w:val="18"/>
                <w:u w:val="none"/>
                <w:em w:val="none"/>
              </w:rPr>
              <w:t>MERCEDES BENZ</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R$ 916.305,00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17</w:t>
            </w:r>
          </w:p>
        </w:tc>
        <w:tc>
          <w:tcPr>
            <w:tcW w:w="4894" w:type="dxa"/>
            <w:tcBorders>
              <w:left w:val="single" w:sz="4" w:space="0" w:color="000000"/>
              <w:bottom w:val="single" w:sz="4" w:space="0" w:color="000000"/>
              <w:right w:val="single" w:sz="4" w:space="0" w:color="000000"/>
            </w:tcBorders>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MERCEDES BENZ</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R$ 388.305,00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MERCEDES BENZ</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R$ 313.500,00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VOLKSWAGEN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r>
              <w:rPr>
                <w:rFonts w:eastAsia="Arial" w:cs="Arial" w:ascii="Times New Roman" w:hAnsi="Times New Roman"/>
                <w:b w:val="false"/>
                <w:i w:val="false"/>
                <w:strike w:val="false"/>
                <w:dstrike w:val="false"/>
                <w:outline w:val="false"/>
                <w:shadow w:val="false"/>
                <w:sz w:val="18"/>
                <w:szCs w:val="18"/>
                <w:u w:val="none"/>
                <w:em w:val="none"/>
              </w:rPr>
              <w:t>.</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R$ 256.400,00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VOLKSWAGEN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R$ 118.500,00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VOLKSWAGEN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R$ 157.302,00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VOLKSWAGEN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R$ 972.205,00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6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VOLKSWAGEN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R$ 377.205,00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VOLKSWAGEN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R$ 327.302,00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CITROEN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R$ 137.600,00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CITROEN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R$ 93.600,00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CITROEN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R$ 82.002,00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CITROEN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R$ 117.050,00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29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CITROEN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R$ 85.100,00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 xml:space="preserve">CITROEN </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R$ 75.002,00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FIAT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R$ 246.500,00</w:t>
            </w:r>
          </w:p>
        </w:tc>
      </w:tr>
      <w:tr>
        <w:trPr>
          <w:trHeight w:val="1383"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AQUISIÇÃO DE PEÇAS ELÉTRICAS E ACESSÓRIOS ELÉTRICOS: NOVOS, COM AS MESMAS ESPECIFICAÇÕES TÉCNICAS E PADRÕES DE QUALIDADE DAS PEÇAS GENUÍNAS DE ACORDO COM  (ABNT NBR 15296). PARA APLICAÇÃO EM VEÍCULOS LEVES DA MARCA</w:t>
            </w:r>
            <w:r>
              <w:rPr>
                <w:rFonts w:eastAsia="Arial" w:cs="Arial" w:ascii="Times New Roman" w:hAnsi="Times New Roman"/>
                <w:b/>
                <w:bCs/>
                <w:i w:val="false"/>
                <w:strike w:val="false"/>
                <w:dstrike w:val="false"/>
                <w:outline w:val="false"/>
                <w:shadow w:val="false"/>
                <w:kern w:val="2"/>
                <w:sz w:val="18"/>
                <w:szCs w:val="18"/>
                <w:u w:val="none"/>
                <w:em w:val="none"/>
              </w:rPr>
              <w:t xml:space="preserve"> FIAT,</w:t>
            </w:r>
            <w:r>
              <w:rPr>
                <w:rFonts w:eastAsia="Arial" w:cs="Arial" w:ascii="Times New Roman" w:hAnsi="Times New Roman"/>
                <w:b w:val="false"/>
                <w:i w:val="false"/>
                <w:strike w:val="false"/>
                <w:dstrike w:val="false"/>
                <w:outline w:val="false"/>
                <w:shadow w:val="false"/>
                <w:kern w:val="2"/>
                <w:sz w:val="18"/>
                <w:szCs w:val="18"/>
                <w:u w:val="none"/>
                <w:em w:val="none"/>
              </w:rPr>
              <w:t xml:space="preserve">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R$ 162.500,00</w:t>
            </w:r>
          </w:p>
        </w:tc>
      </w:tr>
      <w:tr>
        <w:trPr>
          <w:trHeight w:val="1420"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AQUISIÇÃO DE PEÇAS DE FUNILARIA E ACESSÓRIOS DE FUNILARIA: NOVOS, COM AS MESMAS ESPECIFICAÇÕES TÉCNICAS E PADRÕES DE QUALIDADE DAS PEÇAS GENUÍNAS DE ACORDO COM  (ABNT NBR 15296). PARA APLICAÇÃO EM VEÍCULOS LEVES DA MARCA</w:t>
            </w:r>
            <w:r>
              <w:rPr>
                <w:rFonts w:eastAsia="Arial" w:cs="Arial" w:ascii="Times New Roman" w:hAnsi="Times New Roman"/>
                <w:b/>
                <w:bCs/>
                <w:i w:val="false"/>
                <w:strike w:val="false"/>
                <w:dstrike w:val="false"/>
                <w:outline w:val="false"/>
                <w:shadow w:val="false"/>
                <w:kern w:val="2"/>
                <w:sz w:val="18"/>
                <w:szCs w:val="18"/>
                <w:u w:val="none"/>
                <w:em w:val="none"/>
              </w:rPr>
              <w:t xml:space="preserve"> FIAT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R$ 120.302,00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AQUISIÇÃO DE PEÇAS MECÂNICAS E ACESSÓRIOS MECÂNICOS:  NOVOS,  COM AS MESMAS ESPECIFICAÇÕES TÉCNICAS E PADRÕES DE QUALIDADE DAS PEÇAS GENUÍNAS DE ACORDO COM  (ABNT NBR 15296). PARA APLICAÇÃO EM VEÍCULOS LEVES DA MARCA</w:t>
            </w:r>
            <w:r>
              <w:rPr>
                <w:rFonts w:eastAsia="Arial" w:cs="Arial" w:ascii="Times New Roman" w:hAnsi="Times New Roman"/>
                <w:b/>
                <w:bCs/>
                <w:i w:val="false"/>
                <w:strike w:val="false"/>
                <w:dstrike w:val="false"/>
                <w:outline w:val="false"/>
                <w:shadow w:val="false"/>
                <w:kern w:val="2"/>
                <w:sz w:val="18"/>
                <w:szCs w:val="18"/>
                <w:u w:val="none"/>
                <w:em w:val="none"/>
              </w:rPr>
              <w:t xml:space="preserve"> MITSUBISHI</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R$ 360.939,00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MITSUBISHI</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R$ 238.805,00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MITSUBISHI</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R$ 212.805,00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HONDA</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R$ 134.500,00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HONDA</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R$ 91.500,00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39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HONDA</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R$ 79.500,00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w:t>
            </w:r>
            <w:r>
              <w:rPr>
                <w:rFonts w:eastAsia="Arial" w:cs="Arial" w:ascii="Times New Roman" w:hAnsi="Times New Roman"/>
                <w:b w:val="false"/>
                <w:i w:val="false"/>
                <w:strike w:val="false"/>
                <w:dstrike w:val="false"/>
                <w:outline w:val="false"/>
                <w:shadow w:val="false"/>
                <w:color w:val="000000"/>
                <w:kern w:val="2"/>
                <w:sz w:val="18"/>
                <w:szCs w:val="18"/>
                <w:u w:val="none"/>
                <w:em w:val="none"/>
              </w:rPr>
              <w:t xml:space="preserve">VEÍCULOS PESADOS </w:t>
            </w:r>
            <w:r>
              <w:rPr>
                <w:rFonts w:eastAsia="Arial" w:cs="Arial" w:ascii="Times New Roman" w:hAnsi="Times New Roman"/>
                <w:b w:val="false"/>
                <w:i w:val="false"/>
                <w:strike w:val="false"/>
                <w:dstrike w:val="false"/>
                <w:outline w:val="false"/>
                <w:shadow w:val="false"/>
                <w:kern w:val="2"/>
                <w:sz w:val="18"/>
                <w:szCs w:val="18"/>
                <w:u w:val="none"/>
                <w:em w:val="none"/>
              </w:rPr>
              <w:t xml:space="preserve">DA MARCA </w:t>
            </w:r>
            <w:r>
              <w:rPr>
                <w:rFonts w:eastAsia="Arial" w:cs="Arial" w:ascii="Times New Roman" w:hAnsi="Times New Roman"/>
                <w:b/>
                <w:bCs/>
                <w:i w:val="false"/>
                <w:strike w:val="false"/>
                <w:dstrike w:val="false"/>
                <w:outline w:val="false"/>
                <w:shadow w:val="false"/>
                <w:kern w:val="2"/>
                <w:sz w:val="18"/>
                <w:szCs w:val="18"/>
                <w:u w:val="none"/>
                <w:em w:val="none"/>
              </w:rPr>
              <w:t>PEUGEOT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R$ 35.000,00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w:t>
            </w:r>
            <w:r>
              <w:rPr>
                <w:rFonts w:eastAsia="Arial" w:cs="Arial" w:ascii="Times New Roman" w:hAnsi="Times New Roman"/>
                <w:b w:val="false"/>
                <w:i w:val="false"/>
                <w:strike w:val="false"/>
                <w:dstrike w:val="false"/>
                <w:outline w:val="false"/>
                <w:shadow w:val="false"/>
                <w:color w:val="000000"/>
                <w:kern w:val="2"/>
                <w:sz w:val="18"/>
                <w:szCs w:val="18"/>
                <w:u w:val="none"/>
                <w:em w:val="none"/>
              </w:rPr>
              <w:t>VEÍCULOS PESADOS</w:t>
            </w:r>
            <w:r>
              <w:rPr>
                <w:rFonts w:eastAsia="Arial" w:cs="Arial" w:ascii="Times New Roman" w:hAnsi="Times New Roman"/>
                <w:b w:val="false"/>
                <w:i w:val="false"/>
                <w:strike w:val="false"/>
                <w:dstrike w:val="false"/>
                <w:outline w:val="false"/>
                <w:shadow w:val="false"/>
                <w:kern w:val="2"/>
                <w:sz w:val="18"/>
                <w:szCs w:val="18"/>
                <w:u w:val="none"/>
                <w:em w:val="none"/>
              </w:rPr>
              <w:t xml:space="preserve"> DA MARCA </w:t>
            </w:r>
            <w:r>
              <w:rPr>
                <w:rFonts w:eastAsia="Arial" w:cs="Arial" w:ascii="Times New Roman" w:hAnsi="Times New Roman"/>
                <w:b/>
                <w:bCs/>
                <w:i w:val="false"/>
                <w:strike w:val="false"/>
                <w:dstrike w:val="false"/>
                <w:outline w:val="false"/>
                <w:shadow w:val="false"/>
                <w:kern w:val="2"/>
                <w:sz w:val="18"/>
                <w:szCs w:val="18"/>
                <w:u w:val="none"/>
                <w:em w:val="none"/>
              </w:rPr>
              <w:t>PEUGEOT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R$ 42.926,00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w:t>
            </w:r>
            <w:r>
              <w:rPr>
                <w:rFonts w:eastAsia="Arial" w:cs="Arial" w:ascii="Times New Roman" w:hAnsi="Times New Roman"/>
                <w:b w:val="false"/>
                <w:i w:val="false"/>
                <w:strike w:val="false"/>
                <w:dstrike w:val="false"/>
                <w:outline w:val="false"/>
                <w:shadow w:val="false"/>
                <w:color w:val="000000"/>
                <w:kern w:val="2"/>
                <w:sz w:val="18"/>
                <w:szCs w:val="18"/>
                <w:u w:val="none"/>
                <w:em w:val="none"/>
              </w:rPr>
              <w:t xml:space="preserve">VEÍCULOS PESADOS </w:t>
            </w:r>
            <w:r>
              <w:rPr>
                <w:rFonts w:eastAsia="Arial" w:cs="Arial" w:ascii="Times New Roman" w:hAnsi="Times New Roman"/>
                <w:b w:val="false"/>
                <w:i w:val="false"/>
                <w:strike w:val="false"/>
                <w:dstrike w:val="false"/>
                <w:outline w:val="false"/>
                <w:shadow w:val="false"/>
                <w:kern w:val="2"/>
                <w:sz w:val="18"/>
                <w:szCs w:val="18"/>
                <w:u w:val="none"/>
                <w:em w:val="none"/>
              </w:rPr>
              <w:t xml:space="preserve">DA MARCA </w:t>
            </w:r>
            <w:r>
              <w:rPr>
                <w:rFonts w:eastAsia="Arial" w:cs="Arial" w:ascii="Times New Roman" w:hAnsi="Times New Roman"/>
                <w:b/>
                <w:bCs/>
                <w:i w:val="false"/>
                <w:strike w:val="false"/>
                <w:dstrike w:val="false"/>
                <w:outline w:val="false"/>
                <w:shadow w:val="false"/>
                <w:kern w:val="2"/>
                <w:sz w:val="18"/>
                <w:szCs w:val="18"/>
                <w:u w:val="none"/>
                <w:em w:val="none"/>
              </w:rPr>
              <w:t>PEUGEOT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R$ 28.093,00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w:t>
            </w:r>
            <w:r>
              <w:rPr>
                <w:rFonts w:eastAsia="Arial" w:cs="Arial" w:ascii="Times New Roman" w:hAnsi="Times New Roman"/>
                <w:b w:val="false"/>
                <w:i w:val="false"/>
                <w:strike w:val="false"/>
                <w:dstrike w:val="false"/>
                <w:outline w:val="false"/>
                <w:shadow w:val="false"/>
                <w:color w:val="000000"/>
                <w:kern w:val="2"/>
                <w:sz w:val="18"/>
                <w:szCs w:val="18"/>
                <w:u w:val="none"/>
                <w:em w:val="none"/>
              </w:rPr>
              <w:t>VEÍCULOS LEVES</w:t>
            </w:r>
            <w:r>
              <w:rPr>
                <w:rFonts w:eastAsia="Arial" w:cs="Arial" w:ascii="Times New Roman" w:hAnsi="Times New Roman"/>
                <w:b w:val="false"/>
                <w:i w:val="false"/>
                <w:strike w:val="false"/>
                <w:dstrike w:val="false"/>
                <w:outline w:val="false"/>
                <w:shadow w:val="false"/>
                <w:kern w:val="2"/>
                <w:sz w:val="18"/>
                <w:szCs w:val="18"/>
                <w:u w:val="none"/>
                <w:em w:val="none"/>
              </w:rPr>
              <w:t xml:space="preserve"> DA MARCA </w:t>
            </w:r>
            <w:r>
              <w:rPr>
                <w:rFonts w:eastAsia="Arial" w:cs="Arial" w:ascii="Times New Roman" w:hAnsi="Times New Roman"/>
                <w:b/>
                <w:bCs/>
                <w:i w:val="false"/>
                <w:strike w:val="false"/>
                <w:dstrike w:val="false"/>
                <w:outline w:val="false"/>
                <w:shadow w:val="false"/>
                <w:kern w:val="2"/>
                <w:sz w:val="18"/>
                <w:szCs w:val="18"/>
                <w:u w:val="none"/>
                <w:em w:val="none"/>
              </w:rPr>
              <w:t>PEUGEOT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R$ 100.500,00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w:t>
            </w:r>
            <w:r>
              <w:rPr>
                <w:rFonts w:eastAsia="Arial" w:cs="Arial" w:ascii="Times New Roman" w:hAnsi="Times New Roman"/>
                <w:b w:val="false"/>
                <w:i w:val="false"/>
                <w:strike w:val="false"/>
                <w:dstrike w:val="false"/>
                <w:outline w:val="false"/>
                <w:shadow w:val="false"/>
                <w:color w:val="000000"/>
                <w:kern w:val="2"/>
                <w:sz w:val="18"/>
                <w:szCs w:val="18"/>
                <w:u w:val="none"/>
                <w:em w:val="none"/>
              </w:rPr>
              <w:t>VEÍCULOS LEVES</w:t>
            </w:r>
            <w:r>
              <w:rPr>
                <w:rFonts w:eastAsia="Arial" w:cs="Arial" w:ascii="Times New Roman" w:hAnsi="Times New Roman"/>
                <w:b w:val="false"/>
                <w:i w:val="false"/>
                <w:strike w:val="false"/>
                <w:dstrike w:val="false"/>
                <w:outline w:val="false"/>
                <w:shadow w:val="false"/>
                <w:kern w:val="2"/>
                <w:sz w:val="18"/>
                <w:szCs w:val="18"/>
                <w:u w:val="none"/>
                <w:em w:val="none"/>
              </w:rPr>
              <w:t xml:space="preserve"> DA MARCA</w:t>
            </w:r>
            <w:r>
              <w:rPr>
                <w:rFonts w:eastAsia="Arial" w:cs="Arial" w:ascii="Times New Roman" w:hAnsi="Times New Roman"/>
                <w:b/>
                <w:bCs/>
                <w:i w:val="false"/>
                <w:strike w:val="false"/>
                <w:dstrike w:val="false"/>
                <w:outline w:val="false"/>
                <w:shadow w:val="false"/>
                <w:kern w:val="2"/>
                <w:sz w:val="18"/>
                <w:szCs w:val="18"/>
                <w:u w:val="none"/>
                <w:em w:val="none"/>
              </w:rPr>
              <w:t xml:space="preserve"> PEUGEOT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R$ 56.000,00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w:t>
            </w:r>
            <w:r>
              <w:rPr>
                <w:rFonts w:eastAsia="Arial" w:cs="Arial" w:ascii="Times New Roman" w:hAnsi="Times New Roman"/>
                <w:b w:val="false"/>
                <w:i w:val="false"/>
                <w:strike w:val="false"/>
                <w:dstrike w:val="false"/>
                <w:outline w:val="false"/>
                <w:shadow w:val="false"/>
                <w:color w:val="000000"/>
                <w:kern w:val="2"/>
                <w:sz w:val="18"/>
                <w:szCs w:val="18"/>
                <w:u w:val="none"/>
                <w:em w:val="none"/>
              </w:rPr>
              <w:t>VEÍCULOS LEVES</w:t>
            </w:r>
            <w:r>
              <w:rPr>
                <w:rFonts w:eastAsia="Arial" w:cs="Arial" w:ascii="Times New Roman" w:hAnsi="Times New Roman"/>
                <w:b w:val="false"/>
                <w:i w:val="false"/>
                <w:strike w:val="false"/>
                <w:dstrike w:val="false"/>
                <w:outline w:val="false"/>
                <w:shadow w:val="false"/>
                <w:kern w:val="2"/>
                <w:sz w:val="18"/>
                <w:szCs w:val="18"/>
                <w:u w:val="none"/>
                <w:em w:val="none"/>
              </w:rPr>
              <w:t xml:space="preserve"> DA MARCA </w:t>
            </w:r>
            <w:r>
              <w:rPr>
                <w:rFonts w:eastAsia="Arial" w:cs="Arial" w:ascii="Times New Roman" w:hAnsi="Times New Roman"/>
                <w:b/>
                <w:bCs/>
                <w:i w:val="false"/>
                <w:strike w:val="false"/>
                <w:dstrike w:val="false"/>
                <w:outline w:val="false"/>
                <w:shadow w:val="false"/>
                <w:kern w:val="2"/>
                <w:sz w:val="18"/>
                <w:szCs w:val="18"/>
                <w:u w:val="none"/>
                <w:em w:val="none"/>
              </w:rPr>
              <w:t>PEUGEOT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R$ 35.500,00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TOYOTA</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R$ 1.109.505,00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TOYOTA</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R$ 484.705,00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48</w:t>
            </w:r>
          </w:p>
        </w:tc>
        <w:tc>
          <w:tcPr>
            <w:tcW w:w="4894" w:type="dxa"/>
            <w:tcBorders>
              <w:left w:val="single" w:sz="4" w:space="0" w:color="000000"/>
              <w:bottom w:val="single" w:sz="4" w:space="0" w:color="000000"/>
              <w:right w:val="single" w:sz="4" w:space="0" w:color="000000"/>
            </w:tcBorders>
            <w:vAlign w:val="center"/>
          </w:tcPr>
          <w:p>
            <w:pPr>
              <w:pStyle w:val="Normal"/>
              <w:widowControl w:val="false"/>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TOYOTA</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R$ 400.809,00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49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RENAULT,</w:t>
            </w:r>
            <w:r>
              <w:rPr>
                <w:rFonts w:eastAsia="Arial" w:cs="Arial" w:ascii="Times New Roman" w:hAnsi="Times New Roman"/>
                <w:b w:val="false"/>
                <w:i w:val="false"/>
                <w:strike w:val="false"/>
                <w:dstrike w:val="false"/>
                <w:outline w:val="false"/>
                <w:shadow w:val="false"/>
                <w:kern w:val="2"/>
                <w:sz w:val="18"/>
                <w:szCs w:val="18"/>
                <w:u w:val="none"/>
                <w:em w:val="none"/>
              </w:rPr>
              <w:t xml:space="preserve">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R$ 238.355,00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RENAULT</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R$ 164.335,00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RENAULT,</w:t>
            </w:r>
            <w:r>
              <w:rPr>
                <w:rFonts w:eastAsia="Arial" w:cs="Arial" w:ascii="Times New Roman" w:hAnsi="Times New Roman"/>
                <w:b w:val="false"/>
                <w:i w:val="false"/>
                <w:strike w:val="false"/>
                <w:dstrike w:val="false"/>
                <w:outline w:val="false"/>
                <w:shadow w:val="false"/>
                <w:kern w:val="2"/>
                <w:sz w:val="18"/>
                <w:szCs w:val="18"/>
                <w:u w:val="none"/>
                <w:em w:val="none"/>
              </w:rPr>
              <w:t xml:space="preserve">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R$ 116.004,00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MECÂNICAS E ACESSÓRIOS MECÂNICOS: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SSANGYONG</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R$ 80.000,00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ELÉTRICAS E ACESSÓRIOS ELÉTRICOS: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SSANGYONG</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R$ 49.000,00</w:t>
            </w:r>
          </w:p>
        </w:tc>
      </w:tr>
      <w:tr>
        <w:trPr>
          <w:trHeight w:val="1305"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SSANGYONG</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R$ 46.000,00</w:t>
            </w:r>
          </w:p>
        </w:tc>
      </w:tr>
      <w:tr>
        <w:trPr>
          <w:trHeight w:val="1221"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PARA APLICAÇÃO EM VEÍCULOS PESADOS DA MARCA </w:t>
            </w:r>
            <w:r>
              <w:rPr>
                <w:rFonts w:eastAsia="Arial" w:cs="Arial" w:ascii="Times New Roman" w:hAnsi="Times New Roman"/>
                <w:b/>
                <w:bCs/>
                <w:i w:val="false"/>
                <w:strike w:val="false"/>
                <w:dstrike w:val="false"/>
                <w:outline w:val="false"/>
                <w:shadow w:val="false"/>
                <w:sz w:val="18"/>
                <w:szCs w:val="18"/>
                <w:u w:val="none"/>
                <w:em w:val="none"/>
              </w:rPr>
              <w:t>IVECO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R$ 444.100,00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PESADOS DA MARCA</w:t>
            </w:r>
            <w:r>
              <w:rPr>
                <w:rFonts w:eastAsia="Arial" w:cs="Arial" w:ascii="Times New Roman" w:hAnsi="Times New Roman"/>
                <w:b/>
                <w:bCs/>
                <w:i w:val="false"/>
                <w:strike w:val="false"/>
                <w:dstrike w:val="false"/>
                <w:outline w:val="false"/>
                <w:shadow w:val="false"/>
                <w:sz w:val="18"/>
                <w:szCs w:val="18"/>
                <w:u w:val="none"/>
                <w:em w:val="none"/>
              </w:rPr>
              <w:t xml:space="preserve"> IVECO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R$ 299.100,00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PESADOS DA MARCA </w:t>
            </w:r>
            <w:r>
              <w:rPr>
                <w:rFonts w:eastAsia="Arial" w:cs="Arial" w:ascii="Times New Roman" w:hAnsi="Times New Roman"/>
                <w:b/>
                <w:bCs/>
                <w:i w:val="false"/>
                <w:strike w:val="false"/>
                <w:dstrike w:val="false"/>
                <w:outline w:val="false"/>
                <w:shadow w:val="false"/>
                <w:kern w:val="2"/>
                <w:sz w:val="18"/>
                <w:szCs w:val="18"/>
                <w:u w:val="none"/>
                <w:em w:val="none"/>
              </w:rPr>
              <w:t>IVECO</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R$ 270.302,00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PARA APLICAÇÃO EM VEÍCULOS LEVES DA MARCA </w:t>
            </w:r>
            <w:r>
              <w:rPr>
                <w:rFonts w:eastAsia="Arial" w:cs="Arial" w:ascii="Times New Roman" w:hAnsi="Times New Roman"/>
                <w:b/>
                <w:bCs/>
                <w:i w:val="false"/>
                <w:strike w:val="false"/>
                <w:dstrike w:val="false"/>
                <w:outline w:val="false"/>
                <w:shadow w:val="false"/>
                <w:sz w:val="18"/>
                <w:szCs w:val="18"/>
                <w:u w:val="none"/>
                <w:em w:val="none"/>
              </w:rPr>
              <w:t>IVECO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R$ 240.103,00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59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LEVES DA MARCA </w:t>
            </w:r>
            <w:r>
              <w:rPr>
                <w:rFonts w:eastAsia="Arial" w:cs="Arial" w:ascii="Times New Roman" w:hAnsi="Times New Roman"/>
                <w:b/>
                <w:bCs/>
                <w:i w:val="false"/>
                <w:strike w:val="false"/>
                <w:dstrike w:val="false"/>
                <w:outline w:val="false"/>
                <w:shadow w:val="false"/>
                <w:sz w:val="18"/>
                <w:szCs w:val="18"/>
                <w:u w:val="none"/>
                <w:em w:val="none"/>
              </w:rPr>
              <w:t>IVECO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R$ 171.603,00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AQUISIÇÃO DE PEÇAS DE FUNILARIA E ACESSÓRIOS DE FUNILARIA:  NOVOS,  COM AS MESMAS ESPECIFICAÇÕES TÉCNICAS E PADRÕES DE QUALIDADE DAS PEÇAS GENUÍNAS DE ACORDO COM  (ABNT NBR 15296). PARA APLICAÇÃO EM VEÍCULOS LEVES DA MARCA</w:t>
            </w:r>
            <w:r>
              <w:rPr>
                <w:rFonts w:eastAsia="Arial" w:cs="Arial" w:ascii="Times New Roman" w:hAnsi="Times New Roman"/>
                <w:b/>
                <w:bCs/>
                <w:i w:val="false"/>
                <w:strike w:val="false"/>
                <w:dstrike w:val="false"/>
                <w:outline w:val="false"/>
                <w:shadow w:val="false"/>
                <w:kern w:val="2"/>
                <w:sz w:val="18"/>
                <w:szCs w:val="18"/>
                <w:u w:val="none"/>
                <w:em w:val="none"/>
              </w:rPr>
              <w:t xml:space="preserve"> IVECO</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R$ 146.405,00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LEVES DA MARCA</w:t>
            </w:r>
            <w:r>
              <w:rPr>
                <w:rFonts w:eastAsia="Arial" w:cs="Arial" w:ascii="Times New Roman" w:hAnsi="Times New Roman"/>
                <w:b/>
                <w:bCs/>
                <w:i w:val="false"/>
                <w:strike w:val="false"/>
                <w:dstrike w:val="false"/>
                <w:outline w:val="false"/>
                <w:shadow w:val="false"/>
                <w:sz w:val="18"/>
                <w:szCs w:val="18"/>
                <w:u w:val="none"/>
                <w:em w:val="none"/>
              </w:rPr>
              <w:t xml:space="preserve"> NISSAN,</w:t>
            </w:r>
            <w:r>
              <w:rPr>
                <w:rFonts w:eastAsia="Arial" w:cs="Arial" w:ascii="Times New Roman" w:hAnsi="Times New Roman"/>
                <w:b w:val="false"/>
                <w:i w:val="false"/>
                <w:strike w:val="false"/>
                <w:dstrike w:val="false"/>
                <w:outline w:val="false"/>
                <w:shadow w:val="false"/>
                <w:sz w:val="18"/>
                <w:szCs w:val="18"/>
                <w:u w:val="none"/>
                <w:em w:val="none"/>
              </w:rPr>
              <w:t xml:space="preserve">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R$ 166.100,00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LEVES DA MARCA </w:t>
            </w:r>
            <w:r>
              <w:rPr>
                <w:rFonts w:eastAsia="Arial" w:cs="Arial" w:ascii="Times New Roman" w:hAnsi="Times New Roman"/>
                <w:b/>
                <w:bCs/>
                <w:i w:val="false"/>
                <w:strike w:val="false"/>
                <w:dstrike w:val="false"/>
                <w:outline w:val="false"/>
                <w:shadow w:val="false"/>
                <w:sz w:val="18"/>
                <w:szCs w:val="18"/>
                <w:u w:val="none"/>
                <w:em w:val="none"/>
              </w:rPr>
              <w:t>NISSAN</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R$ 120.100,00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AQUISIÇÃO DE PEÇAS DE FUNILARIA E ACESSÓRIOS DE FUNILARIA:  NOVOS,  COM AS MESMAS ESPECIFICAÇÕES TÉCNICAS E PADRÕES DE QUALIDADE DAS PEÇAS GENUÍNAS DE ACORDO COM  (ABNT NBR 15296). PARA APLICAÇÃO EM VEÍCULOS LEVES DA MARCA</w:t>
            </w:r>
            <w:r>
              <w:rPr>
                <w:rFonts w:eastAsia="Arial" w:cs="Arial" w:ascii="Times New Roman" w:hAnsi="Times New Roman"/>
                <w:b/>
                <w:bCs/>
                <w:i w:val="false"/>
                <w:strike w:val="false"/>
                <w:dstrike w:val="false"/>
                <w:outline w:val="false"/>
                <w:shadow w:val="false"/>
                <w:kern w:val="2"/>
                <w:sz w:val="18"/>
                <w:szCs w:val="18"/>
                <w:u w:val="none"/>
                <w:em w:val="none"/>
              </w:rPr>
              <w:t xml:space="preserve"> NISSAN</w:t>
            </w:r>
            <w:r>
              <w:rPr>
                <w:rFonts w:eastAsia="Arial" w:cs="Arial" w:ascii="Times New Roman" w:hAnsi="Times New Roman"/>
                <w:b w:val="false"/>
                <w:i w:val="false"/>
                <w:strike w:val="false"/>
                <w:dstrike w:val="false"/>
                <w:outline w:val="false"/>
                <w:shadow w:val="false"/>
                <w:kern w:val="2"/>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R$ 97.002,00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PESADO DA MARCA: </w:t>
            </w:r>
            <w:r>
              <w:rPr>
                <w:rFonts w:eastAsia="Arial" w:cs="Arial" w:ascii="Times New Roman" w:hAnsi="Times New Roman"/>
                <w:b/>
                <w:bCs/>
                <w:i w:val="false"/>
                <w:strike w:val="false"/>
                <w:dstrike w:val="false"/>
                <w:outline w:val="false"/>
                <w:shadow w:val="false"/>
                <w:sz w:val="18"/>
                <w:szCs w:val="18"/>
                <w:u w:val="none"/>
                <w:em w:val="none"/>
              </w:rPr>
              <w:t>VOLARE</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R$ 295.602,00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PESADO DA MARCA: </w:t>
            </w:r>
            <w:r>
              <w:rPr>
                <w:rFonts w:eastAsia="Arial" w:cs="Arial" w:ascii="Times New Roman" w:hAnsi="Times New Roman"/>
                <w:b/>
                <w:bCs/>
                <w:i w:val="false"/>
                <w:strike w:val="false"/>
                <w:dstrike w:val="false"/>
                <w:outline w:val="false"/>
                <w:shadow w:val="false"/>
                <w:sz w:val="18"/>
                <w:szCs w:val="18"/>
                <w:u w:val="none"/>
                <w:em w:val="none"/>
              </w:rPr>
              <w:t>VOLARE</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R$ 208.202,00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PESADO DA MARCA: </w:t>
            </w:r>
            <w:r>
              <w:rPr>
                <w:rFonts w:eastAsia="Arial" w:cs="Arial" w:ascii="Times New Roman" w:hAnsi="Times New Roman"/>
                <w:b/>
                <w:bCs/>
                <w:i w:val="false"/>
                <w:strike w:val="false"/>
                <w:dstrike w:val="false"/>
                <w:outline w:val="false"/>
                <w:shadow w:val="false"/>
                <w:kern w:val="2"/>
                <w:sz w:val="18"/>
                <w:szCs w:val="18"/>
                <w:u w:val="none"/>
                <w:em w:val="none"/>
              </w:rPr>
              <w:t>VOLARE</w:t>
            </w:r>
            <w:r>
              <w:rPr>
                <w:rFonts w:eastAsia="Arial" w:cs="Arial" w:ascii="Times New Roman" w:hAnsi="Times New Roman"/>
                <w:b w:val="false"/>
                <w:i w:val="false"/>
                <w:strike w:val="false"/>
                <w:dstrike w:val="false"/>
                <w:outline w:val="false"/>
                <w:shadow w:val="false"/>
                <w:kern w:val="2"/>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R$ 153.202,00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LEVES DA MARCA: </w:t>
            </w:r>
            <w:r>
              <w:rPr>
                <w:rFonts w:eastAsia="Arial" w:cs="Arial" w:ascii="Times New Roman" w:hAnsi="Times New Roman"/>
                <w:b/>
                <w:bCs/>
                <w:i w:val="false"/>
                <w:strike w:val="false"/>
                <w:dstrike w:val="false"/>
                <w:outline w:val="false"/>
                <w:shadow w:val="false"/>
                <w:sz w:val="18"/>
                <w:szCs w:val="18"/>
                <w:u w:val="none"/>
                <w:em w:val="none"/>
              </w:rPr>
              <w:t>LAND ROVER</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R$ 162.200,00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LEVES  DA MARCA: </w:t>
            </w:r>
            <w:r>
              <w:rPr>
                <w:rFonts w:eastAsia="Arial" w:cs="Arial" w:ascii="Times New Roman" w:hAnsi="Times New Roman"/>
                <w:b/>
                <w:bCs/>
                <w:i w:val="false"/>
                <w:strike w:val="false"/>
                <w:dstrike w:val="false"/>
                <w:outline w:val="false"/>
                <w:shadow w:val="false"/>
                <w:sz w:val="18"/>
                <w:szCs w:val="18"/>
                <w:u w:val="none"/>
                <w:em w:val="none"/>
              </w:rPr>
              <w:t>LAND ROVER</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R$ 115.700,00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69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117"/>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LAND ROVER</w:t>
            </w:r>
            <w:r>
              <w:rPr>
                <w:rFonts w:eastAsia="Arial" w:cs="Arial" w:ascii="Times New Roman" w:hAnsi="Times New Roman"/>
                <w:b w:val="false"/>
                <w:i w:val="false"/>
                <w:strike w:val="false"/>
                <w:dstrike w:val="false"/>
                <w:outline w:val="false"/>
                <w:shadow w:val="false"/>
                <w:kern w:val="2"/>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R$ 84.502,00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HONDA</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R$ 231.900,00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w:t>
            </w:r>
            <w:r>
              <w:rPr>
                <w:rFonts w:eastAsia="Arial" w:cs="Arial" w:ascii="Times New Roman" w:hAnsi="Times New Roman"/>
                <w:b/>
                <w:bCs/>
                <w:i w:val="false"/>
                <w:strike w:val="false"/>
                <w:dstrike w:val="false"/>
                <w:outline w:val="false"/>
                <w:shadow w:val="false"/>
                <w:sz w:val="18"/>
                <w:szCs w:val="18"/>
                <w:u w:val="none"/>
                <w:em w:val="none"/>
              </w:rPr>
              <w:t xml:space="preserve"> HONDA</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R$ 46.900,00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w:t>
            </w:r>
            <w:r>
              <w:rPr>
                <w:rFonts w:eastAsia="Arial" w:cs="Arial" w:ascii="Times New Roman" w:hAnsi="Times New Roman"/>
                <w:b/>
                <w:bCs/>
                <w:i w:val="false"/>
                <w:strike w:val="false"/>
                <w:dstrike w:val="false"/>
                <w:outline w:val="false"/>
                <w:shadow w:val="false"/>
                <w:sz w:val="18"/>
                <w:szCs w:val="18"/>
                <w:u w:val="none"/>
                <w:em w:val="none"/>
              </w:rPr>
              <w:t xml:space="preserve"> HONDA</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R$ 26.900,00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YAMAHA</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R$ 20.000,00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YAMAHA</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R$ 15.000,00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YAMAHA</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R$ 12.000,00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SUZUKI</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R$ 17.900,00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SUZUKI</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R$ 14.900,00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6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SUZUKI</w:t>
            </w:r>
            <w:r>
              <w:rPr>
                <w:rFonts w:eastAsia="Arial" w:cs="Arial" w:ascii="Times New Roman" w:hAnsi="Times New Roman"/>
                <w:b w:val="false"/>
                <w:i w:val="false"/>
                <w:strike w:val="false"/>
                <w:dstrike w:val="false"/>
                <w:outline w:val="false"/>
                <w:shadow w:val="false"/>
                <w:sz w:val="18"/>
                <w:szCs w:val="18"/>
                <w:u w:val="none"/>
                <w:em w:val="none"/>
              </w:rPr>
              <w:t>,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R$ 12.900,00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79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w:t>
            </w:r>
            <w:r>
              <w:rPr>
                <w:rFonts w:eastAsia="Arial" w:cs="Arial" w:ascii="Times New Roman" w:hAnsi="Times New Roman"/>
                <w:b/>
                <w:bCs/>
                <w:i w:val="false"/>
                <w:strike w:val="false"/>
                <w:dstrike w:val="false"/>
                <w:outline w:val="false"/>
                <w:shadow w:val="false"/>
                <w:sz w:val="18"/>
                <w:szCs w:val="18"/>
                <w:u w:val="none"/>
                <w:em w:val="none"/>
              </w:rPr>
              <w:t xml:space="preserve"> HARLEY DAVIDSON</w:t>
            </w:r>
            <w:r>
              <w:rPr>
                <w:rFonts w:eastAsia="Arial" w:cs="Arial" w:ascii="Times New Roman" w:hAnsi="Times New Roman"/>
                <w:b w:val="false"/>
                <w:i w:val="false"/>
                <w:strike w:val="false"/>
                <w:dstrike w:val="false"/>
                <w:outline w:val="false"/>
                <w:shadow w:val="false"/>
                <w:sz w:val="18"/>
                <w:szCs w:val="18"/>
                <w:u w:val="none"/>
                <w:em w:val="none"/>
              </w:rPr>
              <w:t xml:space="preserve"> ROAD KING,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R$ 82.500,00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MOTOCICLETA DA MARCA </w:t>
            </w:r>
            <w:r>
              <w:rPr>
                <w:rFonts w:eastAsia="Arial" w:cs="Arial" w:ascii="Times New Roman" w:hAnsi="Times New Roman"/>
                <w:b/>
                <w:bCs/>
                <w:i w:val="false"/>
                <w:strike w:val="false"/>
                <w:dstrike w:val="false"/>
                <w:outline w:val="false"/>
                <w:shadow w:val="false"/>
                <w:sz w:val="18"/>
                <w:szCs w:val="18"/>
                <w:u w:val="none"/>
                <w:em w:val="none"/>
              </w:rPr>
              <w:t>HARLEY DAVIDSON</w:t>
            </w:r>
            <w:r>
              <w:rPr>
                <w:rFonts w:eastAsia="Arial" w:cs="Arial" w:ascii="Times New Roman" w:hAnsi="Times New Roman"/>
                <w:b w:val="false"/>
                <w:i w:val="false"/>
                <w:strike w:val="false"/>
                <w:dstrike w:val="false"/>
                <w:outline w:val="false"/>
                <w:shadow w:val="false"/>
                <w:sz w:val="18"/>
                <w:szCs w:val="18"/>
                <w:u w:val="none"/>
                <w:em w:val="none"/>
              </w:rPr>
              <w:t xml:space="preserve"> ROAD KING,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R$ 33.000,00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MOTOCICLETA DA MARCA </w:t>
            </w:r>
            <w:r>
              <w:rPr>
                <w:rFonts w:eastAsia="Arial" w:cs="Arial" w:ascii="Times New Roman" w:hAnsi="Times New Roman"/>
                <w:b/>
                <w:bCs/>
                <w:i w:val="false"/>
                <w:strike w:val="false"/>
                <w:dstrike w:val="false"/>
                <w:outline w:val="false"/>
                <w:shadow w:val="false"/>
                <w:kern w:val="2"/>
                <w:sz w:val="18"/>
                <w:szCs w:val="18"/>
                <w:u w:val="none"/>
                <w:em w:val="none"/>
              </w:rPr>
              <w:t>HARLEY DAVIDSON</w:t>
            </w:r>
            <w:r>
              <w:rPr>
                <w:rFonts w:eastAsia="Arial" w:cs="Arial" w:ascii="Times New Roman" w:hAnsi="Times New Roman"/>
                <w:b w:val="false"/>
                <w:i w:val="false"/>
                <w:strike w:val="false"/>
                <w:dstrike w:val="false"/>
                <w:outline w:val="false"/>
                <w:shadow w:val="false"/>
                <w:kern w:val="2"/>
                <w:sz w:val="18"/>
                <w:szCs w:val="18"/>
                <w:u w:val="none"/>
                <w:em w:val="none"/>
              </w:rPr>
              <w:t xml:space="preserve"> ROAD KING,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w:t>
            </w:r>
            <w:r>
              <w:rPr>
                <w:rFonts w:eastAsia="Arial" w:cs="Arial" w:ascii="Times New Roman" w:hAnsi="Times New Roman"/>
                <w:b/>
                <w:i w:val="false"/>
                <w:strike w:val="false"/>
                <w:dstrike w:val="false"/>
                <w:outline w:val="false"/>
                <w:shadow w:val="false"/>
                <w:kern w:val="2"/>
                <w:sz w:val="18"/>
                <w:szCs w:val="18"/>
                <w:u w:val="none"/>
                <w:em w:val="none"/>
              </w:rPr>
              <w:t xml:space="preserve"> CHICO CITY</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R$ 8.000,00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kern w:val="0"/>
                <w:sz w:val="18"/>
                <w:szCs w:val="18"/>
                <w:lang w:val="pt-BR" w:eastAsia="pt-BR" w:bidi="ar-SA"/>
              </w:rPr>
            </w:pPr>
            <w:r>
              <w:rPr>
                <w:rFonts w:eastAsia="Arial" w:cs="Arial" w:ascii="Times New Roman" w:hAnsi="Times New Roman"/>
                <w:b/>
                <w:bCs/>
                <w:color w:val="000000"/>
                <w:kern w:val="0"/>
                <w:sz w:val="18"/>
                <w:szCs w:val="18"/>
                <w:lang w:val="pt-BR" w:eastAsia="pt-BR" w:bidi="ar-SA"/>
              </w:rPr>
              <w:t>83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 xml:space="preserve">CHICO CITY </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R$ 6.000,00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CHICO CITY</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R$ 4.000,00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FREE HOBBIT</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FREE HOBBIT</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FREE HOBBIT</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R$ 5.000,00</w:t>
            </w:r>
          </w:p>
        </w:tc>
      </w:tr>
      <w:tr>
        <w:trPr>
          <w:trHeight w:val="1332"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GEMAG</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89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GEMAG</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GEMAG</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R$ 6.000,00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KARCHER</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R$ 15.000,00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KARCHER</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R$ 10.000,00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KARCHER</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LENÇOIS</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R$ 9.000,00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LENÇOIS</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LENÇOIS</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R$ 6.000,00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LIBRELATO</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R$ 10.000,00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LIBRELATO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99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LIBRELATO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3"/>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MORUMBI</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R$ 75.500,00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MORUMBI</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R$ 76.700,00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MORUMBI</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R$ 52.700,00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NOMA</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R$ 14.000,00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NOMA</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NOMA</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R$ 6.000,00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w:t>
            </w:r>
            <w:r>
              <w:rPr>
                <w:rFonts w:eastAsia="Arial" w:cs="Arial" w:ascii="Times New Roman" w:hAnsi="Times New Roman"/>
                <w:b/>
                <w:i w:val="false"/>
                <w:strike w:val="false"/>
                <w:dstrike w:val="false"/>
                <w:outline w:val="false"/>
                <w:shadow w:val="false"/>
                <w:kern w:val="2"/>
                <w:sz w:val="18"/>
                <w:szCs w:val="18"/>
                <w:u w:val="none"/>
                <w:em w:val="none"/>
              </w:rPr>
              <w:t xml:space="preserve"> RANDON</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R$ 20.000,00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107</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RANDON</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R$ 15.000,00</w:t>
            </w:r>
          </w:p>
        </w:tc>
      </w:tr>
      <w:tr>
        <w:trPr>
          <w:trHeight w:val="1379" w:hRule="atLeast"/>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108</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 xml:space="preserve">RANDON </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R$ 12.000,00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109</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w:t>
            </w:r>
            <w:r>
              <w:rPr>
                <w:rFonts w:eastAsia="Arial" w:cs="Arial" w:ascii="Times New Roman" w:hAnsi="Times New Roman"/>
                <w:b/>
                <w:i w:val="false"/>
                <w:strike w:val="false"/>
                <w:dstrike w:val="false"/>
                <w:outline w:val="false"/>
                <w:shadow w:val="false"/>
                <w:kern w:val="2"/>
                <w:sz w:val="18"/>
                <w:szCs w:val="18"/>
                <w:u w:val="none"/>
                <w:em w:val="none"/>
              </w:rPr>
              <w:t xml:space="preserve"> 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w:t>
            </w:r>
            <w:r>
              <w:rPr>
                <w:rFonts w:eastAsia="Arial" w:cs="Arial" w:ascii="Times New Roman" w:hAnsi="Times New Roman"/>
                <w:b/>
                <w:i w:val="false"/>
                <w:strike w:val="false"/>
                <w:dstrike w:val="false"/>
                <w:outline w:val="false"/>
                <w:shadow w:val="false"/>
                <w:kern w:val="2"/>
                <w:sz w:val="18"/>
                <w:szCs w:val="18"/>
                <w:u w:val="none"/>
                <w:em w:val="none"/>
              </w:rPr>
              <w:t>RUSSO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R$ 20.000,00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110</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RUSSO</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111</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VEÍCULOS </w:t>
            </w:r>
            <w:r>
              <w:rPr>
                <w:rFonts w:eastAsia="Arial" w:cs="Arial" w:ascii="Times New Roman" w:hAnsi="Times New Roman"/>
                <w:b/>
                <w:i w:val="false"/>
                <w:strike w:val="false"/>
                <w:dstrike w:val="false"/>
                <w:outline w:val="false"/>
                <w:shadow w:val="false"/>
                <w:kern w:val="2"/>
                <w:sz w:val="18"/>
                <w:szCs w:val="18"/>
                <w:u w:val="none"/>
                <w:em w:val="none"/>
              </w:rPr>
              <w:t>REBOQUE</w:t>
            </w:r>
            <w:r>
              <w:rPr>
                <w:rFonts w:eastAsia="Arial" w:cs="Arial" w:ascii="Times New Roman" w:hAnsi="Times New Roman"/>
                <w:b w:val="false"/>
                <w:i w:val="false"/>
                <w:strike w:val="false"/>
                <w:dstrike w:val="false"/>
                <w:outline w:val="false"/>
                <w:shadow w:val="false"/>
                <w:sz w:val="18"/>
                <w:szCs w:val="18"/>
                <w:u w:val="none"/>
                <w:em w:val="none"/>
              </w:rPr>
              <w:t xml:space="preserve">  DA  MARCA ,( </w:t>
            </w:r>
            <w:r>
              <w:rPr>
                <w:rFonts w:eastAsia="Arial" w:cs="Arial" w:ascii="Times New Roman" w:hAnsi="Times New Roman"/>
                <w:b/>
                <w:i w:val="false"/>
                <w:strike w:val="false"/>
                <w:dstrike w:val="false"/>
                <w:outline w:val="false"/>
                <w:shadow w:val="false"/>
                <w:kern w:val="2"/>
                <w:sz w:val="18"/>
                <w:szCs w:val="18"/>
                <w:u w:val="none"/>
                <w:em w:val="none"/>
              </w:rPr>
              <w:t xml:space="preserve">RUSSO </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R$ 6.000,00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112</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TRATOR CORTADOR DE GRAMA . MARCA: </w:t>
            </w:r>
            <w:r>
              <w:rPr>
                <w:rFonts w:eastAsia="Arial" w:cs="Arial" w:ascii="Times New Roman" w:hAnsi="Times New Roman"/>
                <w:b/>
                <w:bCs/>
                <w:i w:val="false"/>
                <w:strike w:val="false"/>
                <w:dstrike w:val="false"/>
                <w:outline w:val="false"/>
                <w:shadow w:val="false"/>
                <w:sz w:val="18"/>
                <w:szCs w:val="18"/>
                <w:u w:val="none"/>
                <w:em w:val="none"/>
              </w:rPr>
              <w:t>TOYAMA</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R$ 21.000,00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113</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 xml:space="preserve">AQUISIÇÃO DE PEÇAS ELÉTRICAS E ACESSÓRIOS ELÉTRICOS: </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TRATOR CORTADOR DE GRAMA . MARCA: </w:t>
            </w:r>
            <w:r>
              <w:rPr>
                <w:rFonts w:eastAsia="Arial" w:cs="Arial" w:ascii="Times New Roman" w:hAnsi="Times New Roman"/>
                <w:b/>
                <w:bCs/>
                <w:i w:val="false"/>
                <w:strike w:val="false"/>
                <w:dstrike w:val="false"/>
                <w:outline w:val="false"/>
                <w:shadow w:val="false"/>
                <w:sz w:val="18"/>
                <w:szCs w:val="18"/>
                <w:u w:val="none"/>
                <w:em w:val="none"/>
              </w:rPr>
              <w:t>TOYAMA</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R$ 28.000,00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114</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DE FUNILARIA E ACESSÓRIOS DE FUNILARIA:</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TRATOR CORTADOR DE GRAMA . MARCA: </w:t>
            </w:r>
            <w:r>
              <w:rPr>
                <w:rFonts w:eastAsia="Arial" w:cs="Arial" w:ascii="Times New Roman" w:hAnsi="Times New Roman"/>
                <w:b/>
                <w:bCs/>
                <w:i w:val="false"/>
                <w:strike w:val="false"/>
                <w:dstrike w:val="false"/>
                <w:outline w:val="false"/>
                <w:shadow w:val="false"/>
                <w:sz w:val="18"/>
                <w:szCs w:val="18"/>
                <w:u w:val="none"/>
                <w:em w:val="none"/>
              </w:rPr>
              <w:t>TOYAMA</w:t>
            </w:r>
            <w:r>
              <w:rPr>
                <w:rFonts w:eastAsia="Arial" w:cs="Arial" w:ascii="Times New Roman" w:hAnsi="Times New Roman"/>
                <w:b w:val="false"/>
                <w:i w:val="false"/>
                <w:strike w:val="false"/>
                <w:dstrike w:val="false"/>
                <w:outline w:val="false"/>
                <w:shadow w:val="false"/>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R$ 27.000,00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115</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MECÂNICAS E ACESSÓRIOS MECÂNICOS: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TRATOR CORTADOR DE GRAMA . MARCA: </w:t>
            </w:r>
            <w:r>
              <w:rPr>
                <w:rFonts w:eastAsia="Arial" w:cs="Arial" w:ascii="Times New Roman" w:hAnsi="Times New Roman"/>
                <w:b/>
                <w:bCs/>
                <w:i w:val="false"/>
                <w:strike w:val="false"/>
                <w:dstrike w:val="false"/>
                <w:outline w:val="false"/>
                <w:shadow w:val="false"/>
                <w:sz w:val="18"/>
                <w:szCs w:val="18"/>
                <w:u w:val="none"/>
                <w:em w:val="none"/>
              </w:rPr>
              <w:t>HUSQVARNA</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R$ 17.000,00</w:t>
            </w:r>
          </w:p>
        </w:tc>
      </w:tr>
      <w:tr>
        <w:trPr/>
        <w:tc>
          <w:tcPr>
            <w:tcW w:w="567" w:type="dxa"/>
            <w:tcBorders>
              <w:left w:val="single" w:sz="4" w:space="0" w:color="000000"/>
              <w:bottom w:val="single" w:sz="4" w:space="0" w:color="000000"/>
              <w:right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116</w:t>
            </w:r>
          </w:p>
        </w:tc>
        <w:tc>
          <w:tcPr>
            <w:tcW w:w="4894" w:type="dxa"/>
            <w:tcBorders>
              <w:left w:val="single" w:sz="4" w:space="0" w:color="000000"/>
              <w:bottom w:val="single" w:sz="4" w:space="0" w:color="000000"/>
              <w:right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sz w:val="18"/>
                <w:szCs w:val="18"/>
              </w:rPr>
            </w:pPr>
            <w:r>
              <w:rPr>
                <w:rFonts w:eastAsia="Arial" w:cs="Arial" w:ascii="Times New Roman" w:hAnsi="Times New Roman"/>
                <w:b w:val="false"/>
                <w:i w:val="false"/>
                <w:strike w:val="false"/>
                <w:dstrike w:val="false"/>
                <w:outline w:val="false"/>
                <w:shadow w:val="false"/>
                <w:sz w:val="18"/>
                <w:szCs w:val="18"/>
                <w:u w:val="none"/>
                <w:em w:val="none"/>
              </w:rPr>
              <w:t>AQUISIÇÃO DE PEÇAS ELÉTRICAS E ACESSÓRIOS ELÉTRICOS:</w:t>
            </w:r>
            <w:r>
              <w:rPr>
                <w:rFonts w:eastAsia="Arial" w:cs="Arial" w:ascii="Times New Roman" w:hAnsi="Times New Roman"/>
                <w:b w:val="false"/>
                <w:i w:val="false"/>
                <w:strike w:val="false"/>
                <w:dstrike w:val="false"/>
                <w:outline w:val="false"/>
                <w:shadow w:val="false"/>
                <w:kern w:val="2"/>
                <w:sz w:val="18"/>
                <w:szCs w:val="18"/>
                <w:u w:val="none"/>
                <w:em w:val="none"/>
              </w:rPr>
              <w:t xml:space="preserve">  NOVOS,  COM AS MESMAS ESPECIFICAÇÕES TÉCNICAS E PADRÕES DE QUALIDADE DAS PEÇAS GENUÍNAS DE ACORDO COM  (ABNT NBR 15296).</w:t>
            </w:r>
            <w:r>
              <w:rPr>
                <w:rFonts w:eastAsia="Arial" w:cs="Arial" w:ascii="Times New Roman" w:hAnsi="Times New Roman"/>
                <w:b w:val="false"/>
                <w:i w:val="false"/>
                <w:strike w:val="false"/>
                <w:dstrike w:val="false"/>
                <w:outline w:val="false"/>
                <w:shadow w:val="false"/>
                <w:sz w:val="18"/>
                <w:szCs w:val="18"/>
                <w:u w:val="none"/>
                <w:em w:val="none"/>
              </w:rPr>
              <w:t xml:space="preserve"> PARA APLICAÇÃO EM  TRATOR CORTADOR DE GRAMA . MARCA: </w:t>
            </w:r>
            <w:r>
              <w:rPr>
                <w:rFonts w:eastAsia="Arial" w:cs="Arial" w:ascii="Times New Roman" w:hAnsi="Times New Roman"/>
                <w:b/>
                <w:bCs/>
                <w:i w:val="false"/>
                <w:strike w:val="false"/>
                <w:dstrike w:val="false"/>
                <w:outline w:val="false"/>
                <w:shadow w:val="false"/>
                <w:sz w:val="18"/>
                <w:szCs w:val="18"/>
                <w:u w:val="none"/>
                <w:em w:val="none"/>
              </w:rPr>
              <w:t xml:space="preserve">HUSQVARNA </w:t>
            </w:r>
            <w:r>
              <w:rPr>
                <w:rFonts w:eastAsia="Arial" w:cs="Arial" w:ascii="Times New Roman" w:hAnsi="Times New Roman"/>
                <w:b w:val="false"/>
                <w:i w:val="false"/>
                <w:strike w:val="false"/>
                <w:dstrike w:val="false"/>
                <w:outline w:val="false"/>
                <w:shadow w:val="false"/>
                <w:sz w:val="18"/>
                <w:szCs w:val="18"/>
                <w:u w:val="none"/>
                <w:em w:val="none"/>
              </w:rPr>
              <w:t>;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R$ 17.000,00</w:t>
            </w:r>
          </w:p>
        </w:tc>
      </w:tr>
      <w:tr>
        <w:trPr>
          <w:trHeight w:val="1461" w:hRule="atLeast"/>
        </w:trPr>
        <w:tc>
          <w:tcPr>
            <w:tcW w:w="567"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b/>
                <w:b/>
                <w:bCs/>
                <w:color w:val="000000"/>
                <w:sz w:val="18"/>
                <w:szCs w:val="18"/>
              </w:rPr>
            </w:pPr>
            <w:r>
              <w:rPr>
                <w:rFonts w:eastAsia="Arial" w:cs="Arial" w:ascii="Times New Roman" w:hAnsi="Times New Roman"/>
                <w:b/>
                <w:bCs/>
                <w:color w:val="000000"/>
                <w:sz w:val="18"/>
                <w:szCs w:val="18"/>
              </w:rPr>
              <w:t>117</w:t>
            </w:r>
          </w:p>
        </w:tc>
        <w:tc>
          <w:tcPr>
            <w:tcW w:w="4894" w:type="dxa"/>
            <w:tcBorders>
              <w:left w:val="single" w:sz="4" w:space="0" w:color="000000"/>
              <w:bottom w:val="single" w:sz="4" w:space="0" w:color="000000"/>
            </w:tcBorders>
            <w:vAlign w:val="center"/>
          </w:tcPr>
          <w:p>
            <w:pPr>
              <w:pStyle w:val="Normal"/>
              <w:widowControl w:val="false"/>
              <w:tabs>
                <w:tab w:val="clear" w:pos="408"/>
              </w:tabs>
              <w:spacing w:lineRule="auto" w:line="312" w:before="0" w:after="0"/>
              <w:jc w:val="left"/>
              <w:rPr>
                <w:rFonts w:ascii="Times New Roman" w:hAnsi="Times New Roman" w:eastAsia="Arial" w:cs="Arial"/>
                <w:b w:val="false"/>
                <w:b w:val="false"/>
                <w:i w:val="false"/>
                <w:i w:val="false"/>
                <w:strike w:val="false"/>
                <w:dstrike w:val="false"/>
                <w:outline w:val="false"/>
                <w:shadow w:val="false"/>
                <w:kern w:val="2"/>
                <w:sz w:val="18"/>
                <w:szCs w:val="18"/>
                <w:u w:val="none"/>
                <w:em w:val="none"/>
              </w:rPr>
            </w:pPr>
            <w:r>
              <w:rPr>
                <w:rFonts w:eastAsia="Arial" w:cs="Arial" w:ascii="Times New Roman" w:hAnsi="Times New Roman"/>
                <w:b w:val="false"/>
                <w:i w:val="false"/>
                <w:strike w:val="false"/>
                <w:dstrike w:val="false"/>
                <w:outline w:val="false"/>
                <w:shadow w:val="false"/>
                <w:kern w:val="2"/>
                <w:sz w:val="18"/>
                <w:szCs w:val="18"/>
                <w:u w:val="none"/>
                <w:em w:val="none"/>
              </w:rPr>
              <w:t xml:space="preserve">AQUISIÇÃO DE PEÇAS DE FUNILARIA E ACESSÓRIOS DE FUNILARIA:  NOVOS,  COM AS MESMAS ESPECIFICAÇÕES TÉCNICAS E PADRÕES DE QUALIDADE DAS PEÇAS GENUÍNAS DE ACORDO COM  (ABNT NBR 15296). PARA APLICAÇÃO EM VEÍCULOS LEVES  DA MARCA: </w:t>
            </w:r>
            <w:r>
              <w:rPr>
                <w:rFonts w:eastAsia="Arial" w:cs="Arial" w:ascii="Times New Roman" w:hAnsi="Times New Roman"/>
                <w:b/>
                <w:bCs/>
                <w:i w:val="false"/>
                <w:strike w:val="false"/>
                <w:dstrike w:val="false"/>
                <w:outline w:val="false"/>
                <w:shadow w:val="false"/>
                <w:kern w:val="2"/>
                <w:sz w:val="18"/>
                <w:szCs w:val="18"/>
                <w:u w:val="none"/>
                <w:em w:val="none"/>
              </w:rPr>
              <w:t>HUSQVARNA</w:t>
            </w:r>
            <w:r>
              <w:rPr>
                <w:rFonts w:eastAsia="Arial" w:cs="Arial" w:ascii="Times New Roman" w:hAnsi="Times New Roman"/>
                <w:b w:val="false"/>
                <w:i w:val="false"/>
                <w:strike w:val="false"/>
                <w:dstrike w:val="false"/>
                <w:outline w:val="false"/>
                <w:shadow w:val="false"/>
                <w:kern w:val="2"/>
                <w:sz w:val="18"/>
                <w:szCs w:val="18"/>
                <w:u w:val="none"/>
                <w:em w:val="none"/>
              </w:rPr>
              <w:t xml:space="preserve"> :  MODELOS: TODOS, ANO: TODOS.</w:t>
            </w:r>
          </w:p>
        </w:tc>
        <w:tc>
          <w:tcPr>
            <w:tcW w:w="1063"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446573</w:t>
            </w:r>
          </w:p>
        </w:tc>
        <w:tc>
          <w:tcPr>
            <w:tcW w:w="796" w:type="dxa"/>
            <w:tcBorders>
              <w:left w:val="single" w:sz="4" w:space="0" w:color="000000"/>
              <w:bottom w:val="single" w:sz="4" w:space="0" w:color="000000"/>
            </w:tcBorders>
            <w:vAlign w:val="center"/>
          </w:tcPr>
          <w:p>
            <w:pPr>
              <w:pStyle w:val="Normal"/>
              <w:widowControl w:val="false"/>
              <w:suppressAutoHyphens w:val="true"/>
              <w:spacing w:lineRule="auto" w:line="312" w:before="120" w:after="288"/>
              <w:jc w:val="center"/>
              <w:rPr>
                <w:rFonts w:ascii="Times New Roman" w:hAnsi="Times New Roman" w:eastAsia="Arial" w:cs="Arial"/>
                <w:color w:val="000000"/>
                <w:sz w:val="18"/>
                <w:szCs w:val="18"/>
              </w:rPr>
            </w:pPr>
            <w:r>
              <w:rPr>
                <w:rFonts w:eastAsia="Arial" w:cs="Arial" w:ascii="Times New Roman" w:hAnsi="Times New Roman"/>
                <w:color w:val="000000"/>
                <w:sz w:val="18"/>
                <w:szCs w:val="18"/>
              </w:rPr>
              <w:t>PEÇA</w:t>
            </w:r>
          </w:p>
        </w:tc>
        <w:tc>
          <w:tcPr>
            <w:tcW w:w="1292" w:type="dxa"/>
            <w:tcBorders>
              <w:left w:val="single" w:sz="4" w:space="0" w:color="000000"/>
              <w:bottom w:val="single" w:sz="4" w:space="0" w:color="000000"/>
            </w:tcBorders>
            <w:vAlign w:val="center"/>
          </w:tcPr>
          <w:p>
            <w:pPr>
              <w:pStyle w:val="Normal"/>
              <w:widowControl w:val="false"/>
              <w:jc w:val="center"/>
              <w:rPr>
                <w:rFonts w:ascii="Times New Roman" w:hAnsi="Times New Roman"/>
                <w:b w:val="false"/>
                <w:b w:val="false"/>
                <w:bCs w:val="false"/>
                <w:sz w:val="18"/>
                <w:szCs w:val="18"/>
              </w:rPr>
            </w:pPr>
            <w:r>
              <w:rPr>
                <w:rFonts w:ascii="Times New Roman" w:hAnsi="Times New Roman"/>
                <w:b w:val="false"/>
                <w:bCs w:val="false"/>
                <w:sz w:val="18"/>
                <w:szCs w:val="18"/>
              </w:rPr>
              <w:t>5%</w:t>
            </w:r>
          </w:p>
        </w:tc>
        <w:tc>
          <w:tcPr>
            <w:tcW w:w="1092" w:type="dxa"/>
            <w:tcBorders>
              <w:left w:val="single" w:sz="4" w:space="0" w:color="000000"/>
              <w:bottom w:val="single" w:sz="4" w:space="0" w:color="000000"/>
              <w:right w:val="single" w:sz="4" w:space="0" w:color="000000"/>
            </w:tcBorders>
            <w:vAlign w:val="center"/>
          </w:tcPr>
          <w:p>
            <w:pPr>
              <w:pStyle w:val="Contedodatabela"/>
              <w:widowControl w:val="false"/>
              <w:jc w:val="center"/>
              <w:rPr>
                <w:rFonts w:ascii="Times New Roman" w:hAnsi="Times New Roman"/>
                <w:b/>
                <w:b/>
                <w:color w:val="000000"/>
                <w:sz w:val="18"/>
                <w:szCs w:val="18"/>
              </w:rPr>
            </w:pPr>
            <w:r>
              <w:rPr>
                <w:rFonts w:ascii="Times New Roman" w:hAnsi="Times New Roman"/>
                <w:b/>
                <w:color w:val="000000"/>
                <w:sz w:val="18"/>
                <w:szCs w:val="18"/>
              </w:rPr>
              <w:t>R$ 16.000,00</w:t>
            </w:r>
          </w:p>
        </w:tc>
      </w:tr>
      <w:tr>
        <w:trPr>
          <w:trHeight w:val="662" w:hRule="atLeast"/>
        </w:trPr>
        <w:tc>
          <w:tcPr>
            <w:tcW w:w="8612" w:type="dxa"/>
            <w:gridSpan w:val="5"/>
            <w:tcBorders>
              <w:left w:val="single" w:sz="4" w:space="0" w:color="000000"/>
              <w:bottom w:val="single" w:sz="4" w:space="0" w:color="000000"/>
            </w:tcBorders>
          </w:tcPr>
          <w:p>
            <w:pPr>
              <w:pStyle w:val="Normal"/>
              <w:widowControl w:val="false"/>
              <w:jc w:val="right"/>
              <w:rPr>
                <w:rFonts w:ascii="Times New Roman" w:hAnsi="Times New Roman"/>
                <w:b/>
                <w:b/>
                <w:bCs/>
                <w:sz w:val="18"/>
                <w:szCs w:val="18"/>
              </w:rPr>
            </w:pPr>
            <w:r>
              <w:rPr>
                <w:rFonts w:ascii="Times New Roman" w:hAnsi="Times New Roman"/>
                <w:b/>
                <w:bCs/>
                <w:sz w:val="18"/>
                <w:szCs w:val="18"/>
              </w:rPr>
            </w:r>
          </w:p>
          <w:p>
            <w:pPr>
              <w:pStyle w:val="Normal"/>
              <w:widowControl w:val="false"/>
              <w:jc w:val="right"/>
              <w:rPr>
                <w:rFonts w:ascii="Times New Roman" w:hAnsi="Times New Roman"/>
                <w:b/>
                <w:b/>
                <w:bCs/>
                <w:sz w:val="18"/>
                <w:szCs w:val="18"/>
              </w:rPr>
            </w:pPr>
            <w:r>
              <w:rPr>
                <w:rFonts w:ascii="Times New Roman" w:hAnsi="Times New Roman"/>
                <w:b/>
                <w:bCs/>
                <w:sz w:val="18"/>
                <w:szCs w:val="18"/>
              </w:rPr>
              <w:t>VALOR TOTAL</w:t>
            </w:r>
          </w:p>
        </w:tc>
        <w:tc>
          <w:tcPr>
            <w:tcW w:w="1092" w:type="dxa"/>
            <w:tcBorders>
              <w:left w:val="single" w:sz="4" w:space="0" w:color="000000"/>
              <w:bottom w:val="single" w:sz="4" w:space="0" w:color="000000"/>
              <w:right w:val="single" w:sz="4" w:space="0" w:color="000000"/>
            </w:tcBorders>
            <w:vAlign w:val="center"/>
          </w:tcPr>
          <w:p>
            <w:pPr>
              <w:pStyle w:val="Normal"/>
              <w:widowControl w:val="false"/>
              <w:jc w:val="center"/>
              <w:rPr>
                <w:rFonts w:ascii="Times New Roman" w:hAnsi="Times New Roman"/>
                <w:b/>
                <w:b/>
                <w:bCs/>
                <w:sz w:val="18"/>
                <w:szCs w:val="18"/>
              </w:rPr>
            </w:pPr>
            <w:r>
              <w:rPr>
                <w:rFonts w:ascii="Times New Roman" w:hAnsi="Times New Roman"/>
                <w:b/>
                <w:bCs/>
                <w:sz w:val="18"/>
                <w:szCs w:val="18"/>
              </w:rPr>
              <w:t>R$ 16.073.788,00</w:t>
            </w:r>
          </w:p>
        </w:tc>
      </w:tr>
    </w:tbl>
    <w:p>
      <w:pPr>
        <w:pStyle w:val="Normal"/>
        <w:numPr>
          <w:ilvl w:val="0"/>
          <w:numId w:val="0"/>
        </w:numPr>
        <w:ind w:left="0" w:hanging="0"/>
        <w:rPr>
          <w:b/>
          <w:b/>
          <w:bCs/>
        </w:rPr>
      </w:pPr>
      <w:r>
        <w:rPr>
          <w:b/>
          <w:bCs/>
        </w:rPr>
      </w:r>
    </w:p>
    <w:p>
      <w:pPr>
        <w:pStyle w:val="Nivel2"/>
        <w:widowControl/>
        <w:numPr>
          <w:ilvl w:val="1"/>
          <w:numId w:val="184"/>
        </w:numPr>
        <w:bidi w:val="0"/>
        <w:spacing w:lineRule="auto" w:line="276"/>
        <w:ind w:left="0" w:right="0" w:hanging="0"/>
        <w:jc w:val="both"/>
        <w:rPr>
          <w:rFonts w:ascii="Arial" w:hAnsi="Arial" w:eastAsia="Arial" w:cs="Arial"/>
          <w:color w:val="000000"/>
          <w:sz w:val="20"/>
          <w:szCs w:val="20"/>
          <w:lang w:eastAsia="pt-BR"/>
        </w:rPr>
      </w:pPr>
      <w:r>
        <w:rPr/>
        <w:t>Os bens objeto desta contratação são caracterizados como comuns, conforme justificativa constante do Estudo Técnico Preliminar.</w:t>
      </w:r>
    </w:p>
    <w:p>
      <w:pPr>
        <w:pStyle w:val="Nivel2"/>
        <w:numPr>
          <w:ilvl w:val="1"/>
          <w:numId w:val="185"/>
        </w:numPr>
        <w:ind w:left="0" w:right="0" w:hanging="0"/>
        <w:rPr/>
      </w:pPr>
      <w:r>
        <w:rPr/>
        <w:t>O objeto desta contratação não se enquadra como sendo de bem de luxo, conforme Decreto nº 10.818, de 27 de setembro de 2021.</w:t>
      </w:r>
    </w:p>
    <w:p>
      <w:pPr>
        <w:pStyle w:val="Nvel2Red"/>
        <w:numPr>
          <w:ilvl w:val="1"/>
          <w:numId w:val="186"/>
        </w:numPr>
        <w:ind w:left="0" w:right="0" w:hanging="0"/>
        <w:rPr/>
      </w:pPr>
      <w:r>
        <w:rPr>
          <w:b w:val="false"/>
          <w:bCs w:val="false"/>
          <w:i w:val="false"/>
          <w:iCs w:val="false"/>
          <w:color w:val="000000"/>
        </w:rPr>
        <w:t xml:space="preserve">O prazo de vigência da contratação é de </w:t>
      </w:r>
      <w:r>
        <w:rPr>
          <w:b/>
          <w:bCs/>
          <w:i w:val="false"/>
          <w:iCs w:val="false"/>
          <w:color w:val="000000"/>
        </w:rPr>
        <w:t>12 (doze)</w:t>
      </w:r>
      <w:r>
        <w:rPr>
          <w:b w:val="false"/>
          <w:bCs w:val="false"/>
          <w:i w:val="false"/>
          <w:iCs w:val="false"/>
          <w:color w:val="000000"/>
        </w:rPr>
        <w:t xml:space="preserve"> meses contados da homologação, na forma do artigo 105 da Lei n° 14.133, de 2021.</w:t>
      </w:r>
    </w:p>
    <w:p>
      <w:pPr>
        <w:pStyle w:val="Nivel2"/>
        <w:numPr>
          <w:ilvl w:val="1"/>
          <w:numId w:val="187"/>
        </w:numPr>
        <w:ind w:left="0" w:right="0" w:hanging="0"/>
        <w:rPr/>
      </w:pPr>
      <w:r>
        <w:rPr/>
        <w:t>O contrato oferece maior detalhamento das regras que serão aplicadas em relação à vigência da contratação.</w:t>
      </w:r>
    </w:p>
    <w:p>
      <w:pPr>
        <w:pStyle w:val="Nivel01"/>
        <w:numPr>
          <w:ilvl w:val="0"/>
          <w:numId w:val="4"/>
        </w:numPr>
        <w:ind w:left="0" w:hanging="0"/>
        <w:rPr/>
      </w:pPr>
      <w:r>
        <w:rPr/>
        <w:t>FUNDAMENTAÇÃO E DESCRIÇÃO DA NECESSIDADE DA CONTRATAÇÃO</w:t>
      </w:r>
    </w:p>
    <w:p>
      <w:pPr>
        <w:pStyle w:val="Nivel2"/>
        <w:numPr>
          <w:ilvl w:val="1"/>
          <w:numId w:val="188"/>
        </w:numPr>
        <w:ind w:left="0" w:right="0" w:hanging="0"/>
        <w:rPr/>
      </w:pPr>
      <w:r>
        <w:rPr/>
        <w:t>A Fundamentação da Contratação e de seus quantitativos encontra-se pormenorizada em Tópico específico dos Estudos Técnicos Preliminares, apêndice deste Termo de Referência.</w:t>
      </w:r>
    </w:p>
    <w:p>
      <w:pPr>
        <w:pStyle w:val="Nivel2"/>
        <w:numPr>
          <w:ilvl w:val="1"/>
          <w:numId w:val="189"/>
        </w:numPr>
        <w:ind w:left="0" w:right="0" w:hanging="0"/>
        <w:rPr/>
      </w:pPr>
      <w:r>
        <w:rPr/>
        <w:t>O objeto da contratação está previsto no Plano de Contratações Anual [ANO], conforme detalhamento a seguir:</w:t>
      </w:r>
    </w:p>
    <w:p>
      <w:pPr>
        <w:pStyle w:val="Nivel3"/>
        <w:numPr>
          <w:ilvl w:val="0"/>
          <w:numId w:val="6"/>
        </w:numPr>
        <w:ind w:left="284" w:hanging="0"/>
        <w:rPr/>
      </w:pPr>
      <w:r>
        <w:rPr/>
        <w:t xml:space="preserve">        </w:t>
      </w:r>
      <w:r>
        <w:rPr/>
        <w:t>ID PCA no PNCP: 00394452000103-0-000</w:t>
      </w:r>
      <w:r>
        <w:rPr>
          <w:rFonts w:cs="Arial"/>
          <w:color w:val="000000"/>
          <w:sz w:val="20"/>
          <w:szCs w:val="20"/>
          <w:lang w:eastAsia="pt-BR"/>
        </w:rPr>
        <w:t>150</w:t>
      </w:r>
      <w:r>
        <w:rPr/>
        <w:t>/2023</w:t>
      </w:r>
      <w:r>
        <w:rPr>
          <w:rFonts w:eastAsia="ＭＳ 明朝" w:cs="Arial"/>
          <w:color w:val="000000"/>
          <w:kern w:val="0"/>
          <w:sz w:val="20"/>
          <w:szCs w:val="20"/>
          <w:lang w:val="pt-BR" w:eastAsia="pt-BR" w:bidi="ar-SA"/>
        </w:rPr>
        <w:t>;</w:t>
      </w:r>
    </w:p>
    <w:p>
      <w:pPr>
        <w:pStyle w:val="Nivel3"/>
        <w:widowControl/>
        <w:numPr>
          <w:ilvl w:val="0"/>
          <w:numId w:val="6"/>
        </w:numPr>
        <w:bidi w:val="0"/>
        <w:spacing w:lineRule="auto" w:line="276"/>
        <w:ind w:left="284" w:hanging="0"/>
        <w:jc w:val="both"/>
        <w:rPr>
          <w:rFonts w:ascii="Arial" w:hAnsi="Arial"/>
        </w:rPr>
      </w:pPr>
      <w:r>
        <w:rPr/>
        <w:t xml:space="preserve">Data de publicação no PNCP: </w:t>
      </w:r>
      <w:r>
        <w:rPr>
          <w:rFonts w:cs="Arial"/>
          <w:color w:val="000000"/>
          <w:sz w:val="20"/>
          <w:szCs w:val="20"/>
          <w:lang w:eastAsia="pt-BR"/>
        </w:rPr>
        <w:t>20 de maio de 2023</w:t>
      </w:r>
      <w:r>
        <w:rPr/>
        <w:t>;</w:t>
      </w:r>
    </w:p>
    <w:p>
      <w:pPr>
        <w:pStyle w:val="Nivel3"/>
        <w:numPr>
          <w:ilvl w:val="0"/>
          <w:numId w:val="6"/>
        </w:numPr>
        <w:ind w:left="284" w:hanging="0"/>
        <w:rPr>
          <w:rFonts w:ascii="Arial" w:hAnsi="Arial"/>
        </w:rPr>
      </w:pPr>
      <w:r>
        <w:rPr/>
        <w:t>Id do item no PCA: 71/81;</w:t>
      </w:r>
    </w:p>
    <w:p>
      <w:pPr>
        <w:pStyle w:val="Nivel3"/>
        <w:numPr>
          <w:ilvl w:val="0"/>
          <w:numId w:val="6"/>
        </w:numPr>
        <w:ind w:left="284" w:hanging="0"/>
        <w:rPr>
          <w:rFonts w:ascii="Arial" w:hAnsi="Arial"/>
        </w:rPr>
      </w:pPr>
      <w:r>
        <w:rPr/>
        <w:t>Classe/Grupo:</w:t>
      </w:r>
      <w:r>
        <w:rPr>
          <w:color w:val="000000"/>
        </w:rPr>
        <w:t xml:space="preserve"> </w:t>
      </w:r>
      <w:r>
        <w:rPr>
          <w:b w:val="false"/>
          <w:bCs w:val="false"/>
          <w:i w:val="false"/>
          <w:caps w:val="false"/>
          <w:smallCaps w:val="false"/>
          <w:color w:val="000000"/>
          <w:spacing w:val="0"/>
          <w:sz w:val="20"/>
          <w:szCs w:val="20"/>
        </w:rPr>
        <w:t>2590 - Componentes Diversos para Veículos</w:t>
      </w:r>
      <w:r>
        <w:rPr/>
        <w:t>;</w:t>
      </w:r>
    </w:p>
    <w:p>
      <w:pPr>
        <w:pStyle w:val="Nivel3"/>
        <w:numPr>
          <w:ilvl w:val="0"/>
          <w:numId w:val="6"/>
        </w:numPr>
        <w:ind w:left="284" w:hanging="0"/>
        <w:rPr>
          <w:rFonts w:ascii="Arial" w:hAnsi="Arial"/>
        </w:rPr>
      </w:pPr>
      <w:r>
        <w:rPr/>
        <w:t xml:space="preserve">Identificador da Futura Contratação: </w:t>
      </w:r>
      <w:r>
        <w:rPr>
          <w:rFonts w:cs="Arial"/>
          <w:color w:val="000000"/>
          <w:sz w:val="20"/>
          <w:szCs w:val="20"/>
          <w:lang w:eastAsia="pt-BR"/>
        </w:rPr>
        <w:t>160200-03/2024</w:t>
      </w:r>
      <w:r>
        <w:rPr/>
        <w:t>.</w:t>
      </w:r>
    </w:p>
    <w:p>
      <w:pPr>
        <w:pStyle w:val="Ou"/>
        <w:rPr/>
      </w:pPr>
      <w:r>
        <w:rPr/>
      </w:r>
    </w:p>
    <w:p>
      <w:pPr>
        <w:pStyle w:val="Nivel01"/>
        <w:numPr>
          <w:ilvl w:val="0"/>
          <w:numId w:val="4"/>
        </w:numPr>
        <w:ind w:left="0" w:hanging="0"/>
        <w:rPr/>
      </w:pPr>
      <w:r>
        <w:rPr/>
        <w:t>DESCRIÇÃO DA SOLUÇÃO COMO UM TODO CONSIDERADO O CICLO DE VIDA DO OBJETO E ESPECIFICAÇÃO DO PRODUTO</w:t>
      </w:r>
    </w:p>
    <w:p>
      <w:pPr>
        <w:pStyle w:val="Nvel2Red"/>
        <w:numPr>
          <w:ilvl w:val="1"/>
          <w:numId w:val="190"/>
        </w:numPr>
        <w:ind w:left="0" w:right="0" w:hanging="0"/>
        <w:rPr>
          <w:i w:val="false"/>
          <w:i w:val="false"/>
          <w:iCs w:val="false"/>
          <w:color w:val="000000"/>
        </w:rPr>
      </w:pPr>
      <w:r>
        <w:rPr>
          <w:i w:val="false"/>
          <w:iCs w:val="false"/>
          <w:color w:val="000000"/>
        </w:rPr>
        <w:t>A descrição da solução como um todo encontra-se pormenorizada em tópico específico dos Estudos Técnicos Preliminares, apêndice deste Termo de Referência.</w:t>
      </w:r>
    </w:p>
    <w:p>
      <w:pPr>
        <w:pStyle w:val="Nivel01"/>
        <w:numPr>
          <w:ilvl w:val="0"/>
          <w:numId w:val="4"/>
        </w:numPr>
        <w:ind w:left="0" w:hanging="0"/>
        <w:rPr/>
      </w:pPr>
      <w:r>
        <w:rPr/>
        <w:t>REQUISITOS DA CONTRATAÇÃO</w:t>
      </w:r>
    </w:p>
    <w:p>
      <w:pPr>
        <w:pStyle w:val="Nvel1SemNumPreto"/>
        <w:rPr/>
      </w:pPr>
      <w:r>
        <w:rPr/>
        <w:t>Sustentabilidade:</w:t>
      </w:r>
    </w:p>
    <w:p>
      <w:pPr>
        <w:pStyle w:val="Nivel2"/>
        <w:widowControl/>
        <w:numPr>
          <w:ilvl w:val="1"/>
          <w:numId w:val="191"/>
        </w:numPr>
        <w:suppressAutoHyphens w:val="true"/>
        <w:bidi w:val="0"/>
        <w:spacing w:lineRule="auto" w:line="276"/>
        <w:ind w:left="0" w:right="0" w:hanging="0"/>
        <w:jc w:val="both"/>
        <w:rPr>
          <w:shd w:fill="FFFFFF" w:val="clear"/>
        </w:rPr>
      </w:pPr>
      <w:r>
        <w:rPr/>
        <w:t>Além dos critérios de sustentabilidade eventualmente inseridos na descrição do objeto, devem ser atendidos os seguintes requisitos, que se baseiam no Guia Nacional de Contratações Sustentáveis:</w:t>
      </w:r>
    </w:p>
    <w:p>
      <w:pPr>
        <w:pStyle w:val="Nvel3R"/>
        <w:widowControl/>
        <w:numPr>
          <w:ilvl w:val="2"/>
          <w:numId w:val="192"/>
        </w:numPr>
        <w:suppressAutoHyphens w:val="true"/>
        <w:bidi w:val="0"/>
        <w:spacing w:lineRule="auto" w:line="276"/>
        <w:ind w:left="284" w:hanging="0"/>
        <w:jc w:val="both"/>
        <w:rPr>
          <w:shd w:fill="FFFFFF" w:val="clear"/>
        </w:rPr>
      </w:pPr>
      <w:r>
        <w:rPr/>
        <w:t xml:space="preserve"> </w:t>
      </w:r>
      <w:r>
        <w:rPr>
          <w:rFonts w:cs="Arial"/>
          <w:i w:val="false"/>
          <w:iCs w:val="false"/>
          <w:color w:val="000000"/>
          <w:sz w:val="20"/>
          <w:szCs w:val="20"/>
        </w:rPr>
        <w:t>A empresa deverá observar e cumprir os critérios de sustentabilidade ambiental, em especial, a observação da Instrução Normativa SLTI/MPOG nº 01, de 19 de janeiro de 2010, que dispõe sobre os critérios de sustentabilidade ambiental na aquisição de bens, contratação de serviços ou obras pela Administração Pública Federal Direta, Autárquica e Fundacional e dá outras providências.</w:t>
      </w:r>
    </w:p>
    <w:p>
      <w:pPr>
        <w:pStyle w:val="Nivel2"/>
        <w:widowControl/>
        <w:numPr>
          <w:ilvl w:val="1"/>
          <w:numId w:val="193"/>
        </w:numPr>
        <w:suppressAutoHyphens w:val="true"/>
        <w:bidi w:val="0"/>
        <w:spacing w:lineRule="auto" w:line="312" w:before="120" w:after="288"/>
        <w:ind w:left="0" w:right="0" w:firstLine="709"/>
        <w:jc w:val="both"/>
        <w:rPr>
          <w:rFonts w:ascii="Arial" w:hAnsi="Arial"/>
        </w:rPr>
      </w:pPr>
      <w:r>
        <w:rPr>
          <w:rFonts w:eastAsia="Arial" w:cs="Arial"/>
          <w:i w:val="false"/>
          <w:iCs w:val="false"/>
          <w:color w:val="00000A"/>
          <w:sz w:val="20"/>
          <w:szCs w:val="20"/>
        </w:rPr>
        <w:t>A empresa deve atender os parâmetros de sustentabilidade previstos pelo Conselho Nacional de Meio Ambiente – CONAMA, IBAMA e o Ministério do Meio Ambiente e ainda as seguintes Diretrizes</w:t>
      </w:r>
      <w:r>
        <w:rPr>
          <w:rFonts w:eastAsia="Arial" w:cs="Arial"/>
          <w:b/>
          <w:i w:val="false"/>
          <w:iCs w:val="false"/>
          <w:color w:val="00000A"/>
          <w:sz w:val="20"/>
          <w:szCs w:val="20"/>
        </w:rPr>
        <w:t>.</w:t>
      </w:r>
    </w:p>
    <w:p>
      <w:pPr>
        <w:pStyle w:val="Nivel2"/>
        <w:widowControl/>
        <w:numPr>
          <w:ilvl w:val="1"/>
          <w:numId w:val="194"/>
        </w:numPr>
        <w:suppressAutoHyphens w:val="true"/>
        <w:bidi w:val="0"/>
        <w:spacing w:lineRule="auto" w:line="312" w:before="120" w:after="288"/>
        <w:ind w:left="0" w:right="0" w:firstLine="709"/>
        <w:jc w:val="both"/>
        <w:rPr>
          <w:rFonts w:ascii="Arial" w:hAnsi="Arial"/>
        </w:rPr>
      </w:pPr>
      <w:r>
        <w:rPr>
          <w:rFonts w:eastAsia="Arial" w:cs="Arial"/>
          <w:b w:val="false"/>
          <w:bCs w:val="false"/>
          <w:i w:val="false"/>
          <w:iCs w:val="false"/>
          <w:color w:val="00000A"/>
          <w:sz w:val="20"/>
          <w:szCs w:val="20"/>
        </w:rPr>
        <w:t xml:space="preserve"> </w:t>
      </w:r>
      <w:r>
        <w:rPr>
          <w:rFonts w:eastAsia="Arial" w:cs="Arial"/>
          <w:b w:val="false"/>
          <w:bCs w:val="false"/>
          <w:i w:val="false"/>
          <w:iCs w:val="false"/>
          <w:color w:val="00000A"/>
          <w:sz w:val="20"/>
          <w:szCs w:val="20"/>
        </w:rPr>
        <w:t>Dos Critérios de Sustentabilidade</w:t>
      </w:r>
    </w:p>
    <w:p>
      <w:pPr>
        <w:pStyle w:val="Nivel2"/>
        <w:widowControl/>
        <w:numPr>
          <w:ilvl w:val="1"/>
          <w:numId w:val="195"/>
        </w:numPr>
        <w:suppressAutoHyphens w:val="true"/>
        <w:bidi w:val="0"/>
        <w:spacing w:lineRule="auto" w:line="312" w:before="120" w:after="288"/>
        <w:ind w:left="0" w:right="0" w:firstLine="709"/>
        <w:jc w:val="both"/>
        <w:rPr>
          <w:rFonts w:ascii="Arial" w:hAnsi="Arial"/>
        </w:rPr>
      </w:pPr>
      <w:r>
        <w:rPr>
          <w:rFonts w:eastAsia="Arial" w:cs="Arial"/>
          <w:b w:val="false"/>
          <w:bCs w:val="false"/>
          <w:i w:val="false"/>
          <w:iCs w:val="false"/>
          <w:color w:val="00000A"/>
          <w:sz w:val="20"/>
          <w:szCs w:val="20"/>
        </w:rPr>
        <w:t>A noção de sustentabilidade deve estar presente desde o estudo de viabilidade técnica.</w:t>
      </w:r>
    </w:p>
    <w:p>
      <w:pPr>
        <w:pStyle w:val="Nivel2"/>
        <w:widowControl/>
        <w:numPr>
          <w:ilvl w:val="1"/>
          <w:numId w:val="196"/>
        </w:numPr>
        <w:suppressAutoHyphens w:val="true"/>
        <w:bidi w:val="0"/>
        <w:spacing w:lineRule="auto" w:line="312" w:before="120" w:after="288"/>
        <w:ind w:left="0" w:right="0" w:firstLine="709"/>
        <w:jc w:val="both"/>
        <w:rPr>
          <w:rFonts w:ascii="Arial" w:hAnsi="Arial"/>
        </w:rPr>
      </w:pPr>
      <w:r>
        <w:rPr>
          <w:rFonts w:eastAsia="Arial" w:cs="Arial"/>
          <w:b/>
          <w:bCs w:val="false"/>
          <w:i w:val="false"/>
          <w:iCs w:val="false"/>
          <w:color w:val="00000A"/>
          <w:sz w:val="20"/>
          <w:szCs w:val="20"/>
        </w:rPr>
        <w:t xml:space="preserve"> </w:t>
      </w:r>
      <w:r>
        <w:rPr>
          <w:rFonts w:eastAsia="Arial" w:cs="Arial"/>
          <w:b w:val="false"/>
          <w:bCs w:val="false"/>
          <w:i w:val="false"/>
          <w:iCs w:val="false"/>
          <w:color w:val="00000A"/>
          <w:sz w:val="20"/>
          <w:szCs w:val="20"/>
        </w:rPr>
        <w:t>As especificações e demais exigências no que tange as questões de sustentabilidade, estarão previstas no Termo de Referência. Tais especificações e exigências serão obrigatoriamente cobradas das licitantes vencedoras do futuro certame, no intuito de proporcionar: redução no consumo de energia e bem como a utilização de tecnologias e materiais que reduzam o impacto ambiental.</w:t>
      </w:r>
    </w:p>
    <w:p>
      <w:pPr>
        <w:pStyle w:val="Nivel2"/>
        <w:numPr>
          <w:ilvl w:val="1"/>
          <w:numId w:val="197"/>
        </w:numPr>
        <w:rPr>
          <w:rFonts w:ascii="Arial" w:hAnsi="Arial"/>
        </w:rPr>
      </w:pPr>
      <w:r>
        <w:rPr>
          <w:rFonts w:eastAsia="Arial" w:cs="Arial"/>
          <w:b w:val="false"/>
          <w:bCs w:val="false"/>
          <w:i w:val="false"/>
          <w:iCs w:val="false"/>
          <w:color w:val="00000A"/>
          <w:sz w:val="20"/>
          <w:szCs w:val="20"/>
        </w:rPr>
        <w:t xml:space="preserve"> </w:t>
      </w:r>
      <w:r>
        <w:rPr>
          <w:rFonts w:eastAsia="Arial" w:cs="Arial"/>
          <w:b w:val="false"/>
          <w:bCs w:val="false"/>
          <w:i w:val="false"/>
          <w:iCs w:val="false"/>
          <w:color w:val="00000A"/>
          <w:sz w:val="20"/>
          <w:szCs w:val="20"/>
        </w:rPr>
        <w:t xml:space="preserve">Dentre os critérios que serão cobrados, destacam-se: </w:t>
      </w:r>
    </w:p>
    <w:p>
      <w:pPr>
        <w:pStyle w:val="Nivel2"/>
        <w:numPr>
          <w:ilvl w:val="0"/>
          <w:numId w:val="0"/>
        </w:numPr>
        <w:ind w:left="1963" w:right="0" w:hanging="0"/>
        <w:rPr>
          <w:rFonts w:ascii="Arial" w:hAnsi="Arial"/>
        </w:rPr>
      </w:pPr>
      <w:r>
        <w:rPr>
          <w:rFonts w:eastAsia="Arial" w:cs="Arial"/>
          <w:b w:val="false"/>
          <w:bCs w:val="false"/>
          <w:i w:val="false"/>
          <w:iCs w:val="false"/>
          <w:color w:val="00000A"/>
          <w:sz w:val="20"/>
          <w:szCs w:val="20"/>
        </w:rPr>
        <w:t>4.6.1. Responsabilizar-se pelos vícios e danos decorrentes da execução do objeto, de acordo com os artigos 14 e 17 a 27, do Código de Defesa do Consumidor (Lei nº 8.078, de 1990), ficando a CONTRATANTE autorizada a descontar, dos pagamentos devidos à CONTRATADA, o valor correspondente aos danos sofridos.</w:t>
      </w:r>
    </w:p>
    <w:p>
      <w:pPr>
        <w:pStyle w:val="Nivel2"/>
        <w:numPr>
          <w:ilvl w:val="0"/>
          <w:numId w:val="0"/>
        </w:numPr>
        <w:ind w:left="1963" w:right="0" w:hanging="0"/>
        <w:rPr>
          <w:rFonts w:ascii="Arial" w:hAnsi="Arial"/>
        </w:rPr>
      </w:pPr>
      <w:r>
        <w:rPr>
          <w:rFonts w:eastAsia="Arial" w:cs="Arial"/>
          <w:b w:val="false"/>
          <w:bCs w:val="false"/>
          <w:i w:val="false"/>
          <w:iCs w:val="false"/>
          <w:color w:val="00000A"/>
          <w:sz w:val="20"/>
          <w:szCs w:val="20"/>
        </w:rPr>
        <w:t>4.6.2. Para os itens cuja atividade de fabricação ou industrialização é enquadrada no Anexo I da Instrução Normativa    IBAMA n° 6/2013, poderá ser solicitado ao licitante vencedor o Certificado de Regularidade do fabricanteno Cadastro    Técnico Federal de Atividades Potencialmente Poluidoras ou Utilizadoras de Recursos Ambientais (CTF/APP), instituído    pelo artigo 17, inciso II, da Lei n° 6.938, de 1981, quando houver suporte em lei, norma ambiental ou acordo setorial que preveja a obrigação do comerciante de deter o CTF do fabricante.</w:t>
      </w:r>
    </w:p>
    <w:p>
      <w:pPr>
        <w:pStyle w:val="Nivel2"/>
        <w:numPr>
          <w:ilvl w:val="0"/>
          <w:numId w:val="0"/>
        </w:numPr>
        <w:ind w:left="1963" w:right="0" w:hanging="0"/>
        <w:rPr>
          <w:rFonts w:ascii="Arial" w:hAnsi="Arial"/>
        </w:rPr>
      </w:pPr>
      <w:r>
        <w:rPr>
          <w:rFonts w:eastAsia="Arial" w:cs="Arial"/>
          <w:b w:val="false"/>
          <w:bCs w:val="false"/>
          <w:i w:val="false"/>
          <w:iCs w:val="false"/>
          <w:color w:val="00000A"/>
          <w:sz w:val="20"/>
          <w:szCs w:val="20"/>
        </w:rPr>
        <w:t>4.6.3. Os bens deverão ser livres de substâncias perigosas em concentração acima da recomendada na diretiva RoHS (Restriction of Certain Hazardous Substances), tais como mercúrio (Hg), chumbo (Pb), cromo hexavalente (Cr(VI)), cádmio (Cd), bifenil-polibromados (PBBs), éteres difenil-polibromados (PBDEs) e de cloro elementar (ECF).</w:t>
      </w:r>
    </w:p>
    <w:p>
      <w:pPr>
        <w:pStyle w:val="Nivel2"/>
        <w:numPr>
          <w:ilvl w:val="0"/>
          <w:numId w:val="0"/>
        </w:numPr>
        <w:ind w:left="1963" w:right="0" w:hanging="0"/>
        <w:rPr>
          <w:rFonts w:ascii="Arial" w:hAnsi="Arial"/>
        </w:rPr>
      </w:pPr>
      <w:r>
        <w:rPr>
          <w:rFonts w:eastAsia="Arial" w:cs="Arial"/>
          <w:b w:val="false"/>
          <w:bCs w:val="false"/>
          <w:i w:val="false"/>
          <w:iCs w:val="false"/>
          <w:color w:val="00000A"/>
          <w:sz w:val="20"/>
          <w:szCs w:val="20"/>
        </w:rPr>
        <w:t>4.6.4. Nos termos do Decreto n° 2.783, de 1998, e Resolução CONAMA n° 267, de 14/11/2000, é vedada a oferta de produto ou equipamento que contenha ou faça uso de qualquer das Substâncias que Destroem a Camada de Ozônio – SDO abrangidas pelo Protocolo de Montreal, notadamente CFCs, Halons, CTC e tricloroetano, à exceção dos usos essenciais permitidos pelo Protocolo de Montreal, conforme artigo 1°, parágrafo único, do Decreto n° 2.783, de 1998, e artigo 4° da Resolução CONAMA n° 267, de 14/11/2000</w:t>
      </w:r>
    </w:p>
    <w:p>
      <w:pPr>
        <w:pStyle w:val="Nivel2"/>
        <w:numPr>
          <w:ilvl w:val="0"/>
          <w:numId w:val="0"/>
        </w:numPr>
        <w:ind w:left="1963" w:right="0" w:hanging="0"/>
        <w:rPr>
          <w:rFonts w:ascii="Arial" w:hAnsi="Arial"/>
        </w:rPr>
      </w:pPr>
      <w:r>
        <w:rPr>
          <w:rFonts w:eastAsia="Arial" w:cs="Arial"/>
          <w:b w:val="false"/>
          <w:bCs w:val="false"/>
          <w:i w:val="false"/>
          <w:iCs w:val="false"/>
          <w:color w:val="00000A"/>
          <w:sz w:val="20"/>
          <w:szCs w:val="20"/>
        </w:rPr>
        <w:t xml:space="preserve">4.6.5. </w:t>
      </w:r>
      <w:r>
        <w:rPr>
          <w:rFonts w:eastAsia="Times New Roman" w:cs="Arial"/>
          <w:b/>
          <w:bCs w:val="false"/>
          <w:i w:val="false"/>
          <w:iCs w:val="false"/>
          <w:color w:val="00000A"/>
          <w:sz w:val="20"/>
          <w:szCs w:val="20"/>
          <w:shd w:fill="auto" w:val="clear"/>
        </w:rPr>
        <w:t xml:space="preserve"> </w:t>
      </w:r>
      <w:r>
        <w:rPr>
          <w:rFonts w:eastAsia="Times New Roman" w:cs="Arial"/>
          <w:b w:val="false"/>
          <w:bCs w:val="false"/>
          <w:i w:val="false"/>
          <w:iCs w:val="false"/>
          <w:color w:val="00000A"/>
          <w:sz w:val="20"/>
          <w:szCs w:val="20"/>
          <w:shd w:fill="auto" w:val="clear"/>
        </w:rPr>
        <w:t>Os produtos ou serviços ofertados devem respeitar as diretrizes da ANVISA, ABNT, IBAMA, INMETRO e demais normas infralegais regulamentadoras da atividade econômica, caso existentes.</w:t>
      </w:r>
    </w:p>
    <w:p>
      <w:pPr>
        <w:pStyle w:val="Nivel2"/>
        <w:widowControl/>
        <w:numPr>
          <w:ilvl w:val="1"/>
          <w:numId w:val="198"/>
        </w:numPr>
        <w:suppressAutoHyphens w:val="true"/>
        <w:bidi w:val="0"/>
        <w:spacing w:lineRule="auto" w:line="312" w:before="120" w:after="288"/>
        <w:ind w:left="0" w:right="0" w:firstLine="709"/>
        <w:jc w:val="both"/>
        <w:rPr>
          <w:rFonts w:ascii="Arial" w:hAnsi="Arial"/>
        </w:rPr>
      </w:pPr>
      <w:r>
        <w:rPr>
          <w:rFonts w:eastAsia="Times New Roman" w:cs="Times New Roman"/>
          <w:b w:val="false"/>
          <w:bCs w:val="false"/>
          <w:i w:val="false"/>
          <w:iCs w:val="false"/>
          <w:color w:val="000000"/>
          <w:sz w:val="20"/>
          <w:szCs w:val="20"/>
          <w:shd w:fill="auto" w:val="clear"/>
        </w:rPr>
        <w:t>O desenvolvimento sustentável está conjugado em 3 (três) esforços primordiais: bem-estar social, desenvolvimento econômico e preservação do meio ambiente. A licitação pretendida em tela para aquisição de peças de viaturas, objetiva facilitar o trabalho na unidade, provendo condições para que os PRODE possam ser utilizados.</w:t>
      </w:r>
    </w:p>
    <w:p>
      <w:pPr>
        <w:pStyle w:val="Nivel2"/>
        <w:widowControl/>
        <w:numPr>
          <w:ilvl w:val="1"/>
          <w:numId w:val="199"/>
        </w:numPr>
        <w:suppressAutoHyphens w:val="true"/>
        <w:bidi w:val="0"/>
        <w:spacing w:lineRule="auto" w:line="312" w:before="120" w:after="288"/>
        <w:ind w:left="0" w:right="0" w:firstLine="709"/>
        <w:jc w:val="both"/>
        <w:rPr>
          <w:rFonts w:ascii="Arial" w:hAnsi="Arial"/>
        </w:rPr>
      </w:pPr>
      <w:r>
        <w:rPr>
          <w:rFonts w:eastAsia="Times New Roman" w:cs="Times New Roman"/>
          <w:b w:val="false"/>
          <w:bCs w:val="false"/>
          <w:i w:val="false"/>
          <w:iCs w:val="false"/>
          <w:color w:val="000000"/>
          <w:sz w:val="20"/>
          <w:szCs w:val="20"/>
          <w:shd w:fill="auto" w:val="clear"/>
        </w:rPr>
        <w:t xml:space="preserve"> </w:t>
      </w:r>
      <w:r>
        <w:rPr>
          <w:rFonts w:eastAsia="Times New Roman" w:cs="Times New Roman"/>
          <w:b w:val="false"/>
          <w:bCs w:val="false"/>
          <w:i w:val="false"/>
          <w:iCs w:val="false"/>
          <w:color w:val="000000"/>
          <w:sz w:val="20"/>
          <w:szCs w:val="20"/>
          <w:u w:val="none"/>
          <w:shd w:fill="auto" w:val="clear"/>
        </w:rPr>
        <w:t>É necessário que durante a execução dos trabalhos nas oficinas, seja dado atenção ao descarte de materiais inservíveis.</w:t>
      </w:r>
      <w:r>
        <w:rPr>
          <w:rFonts w:eastAsia="Times New Roman" w:cs="Arial"/>
          <w:b/>
          <w:bCs w:val="false"/>
          <w:i w:val="false"/>
          <w:iCs w:val="false"/>
          <w:color w:val="00000A"/>
          <w:sz w:val="20"/>
          <w:szCs w:val="20"/>
          <w:shd w:fill="auto" w:val="clear"/>
        </w:rPr>
        <w:t xml:space="preserve"> </w:t>
      </w:r>
    </w:p>
    <w:p>
      <w:pPr>
        <w:pStyle w:val="Nvel3R"/>
        <w:numPr>
          <w:ilvl w:val="0"/>
          <w:numId w:val="0"/>
        </w:numPr>
        <w:ind w:left="360" w:hanging="0"/>
        <w:rPr/>
      </w:pPr>
      <w:r>
        <w:rPr/>
      </w:r>
    </w:p>
    <w:p>
      <w:pPr>
        <w:pStyle w:val="Nvel1SemNum"/>
        <w:rPr/>
      </w:pPr>
      <w:r>
        <w:rPr>
          <w:strike/>
        </w:rPr>
        <w:t>Indicação de marcas ou modelos (</w:t>
      </w:r>
      <w:r>
        <w:fldChar w:fldCharType="begin"/>
      </w:r>
      <w:r>
        <w:rPr>
          <w:rStyle w:val="LinkdaInternet"/>
          <w:strike/>
        </w:rPr>
        <w:instrText> HYPERLINK "http://www.planalto.gov.br/ccivil_03/_ato2019-2022/2021/lei/L14133.htm" \l "art41"</w:instrText>
      </w:r>
      <w:r>
        <w:rPr>
          <w:rStyle w:val="LinkdaInternet"/>
          <w:strike/>
        </w:rPr>
        <w:fldChar w:fldCharType="separate"/>
      </w:r>
      <w:r>
        <w:rPr>
          <w:rStyle w:val="LinkdaInternet"/>
          <w:strike/>
        </w:rPr>
        <w:t>Art. 41, inciso I, da Lei nº 14.133, de 2021</w:t>
      </w:r>
      <w:r>
        <w:rPr>
          <w:rStyle w:val="LinkdaInternet"/>
          <w:strike/>
        </w:rPr>
        <w:fldChar w:fldCharType="end"/>
      </w:r>
      <w:r>
        <w:rPr>
          <w:strike/>
        </w:rPr>
        <w:t>):</w:t>
      </w:r>
    </w:p>
    <w:p>
      <w:pPr>
        <w:pStyle w:val="Nivel2"/>
        <w:numPr>
          <w:ilvl w:val="1"/>
          <w:numId w:val="200"/>
        </w:numPr>
        <w:ind w:left="0" w:right="0" w:hanging="0"/>
        <w:rPr>
          <w:strike/>
        </w:rPr>
      </w:pPr>
      <w:r>
        <w:rPr>
          <w:strike/>
        </w:rPr>
        <w:t>Na presente contratação será admitida a indicação da(s) seguinte(s) marca(s), característica(s) ou modelo(s), de acordo com as justificativas contidas nos Estudos Técnicos Preliminares: (...)</w:t>
      </w:r>
    </w:p>
    <w:p>
      <w:pPr>
        <w:pStyle w:val="Nvel1SemNum"/>
        <w:rPr>
          <w:strike/>
        </w:rPr>
      </w:pPr>
      <w:r>
        <w:rPr>
          <w:strike/>
        </w:rPr>
        <w:t xml:space="preserve">Da vedação de contratação de marca ou produto </w:t>
      </w:r>
    </w:p>
    <w:p>
      <w:pPr>
        <w:pStyle w:val="Nvel2Red"/>
        <w:numPr>
          <w:ilvl w:val="1"/>
          <w:numId w:val="201"/>
        </w:numPr>
        <w:ind w:left="0" w:right="0" w:hanging="0"/>
        <w:rPr>
          <w:strike/>
        </w:rPr>
      </w:pPr>
      <w:r>
        <w:rPr>
          <w:strike/>
        </w:rPr>
        <w:t>Diante das conclusões extraídas do processo n. ____, a Administração não aceitará o fornecimento dos seguintes produtos/marcas:</w:t>
      </w:r>
    </w:p>
    <w:p>
      <w:pPr>
        <w:pStyle w:val="Nvel3R"/>
        <w:numPr>
          <w:ilvl w:val="2"/>
          <w:numId w:val="202"/>
        </w:numPr>
        <w:ind w:left="284" w:hanging="0"/>
        <w:rPr>
          <w:strike/>
        </w:rPr>
      </w:pPr>
      <w:r>
        <w:rPr>
          <w:strike/>
        </w:rPr>
        <w:t>...</w:t>
      </w:r>
    </w:p>
    <w:p>
      <w:pPr>
        <w:pStyle w:val="Nvel3R"/>
        <w:numPr>
          <w:ilvl w:val="2"/>
          <w:numId w:val="203"/>
        </w:numPr>
        <w:ind w:left="284" w:hanging="0"/>
        <w:rPr>
          <w:strike/>
        </w:rPr>
      </w:pPr>
      <w:r>
        <w:rPr>
          <w:strike/>
        </w:rPr>
        <w:t>...</w:t>
      </w:r>
    </w:p>
    <w:p>
      <w:pPr>
        <w:pStyle w:val="Nvel3R"/>
        <w:numPr>
          <w:ilvl w:val="2"/>
          <w:numId w:val="204"/>
        </w:numPr>
        <w:ind w:left="284" w:hanging="0"/>
        <w:rPr>
          <w:strike/>
        </w:rPr>
      </w:pPr>
      <w:r>
        <w:rPr>
          <w:strike/>
        </w:rPr>
        <w:t>...</w:t>
      </w:r>
    </w:p>
    <w:p>
      <w:pPr>
        <w:pStyle w:val="Nvel1SemNum"/>
        <w:rPr>
          <w:strike/>
        </w:rPr>
      </w:pPr>
      <w:r>
        <w:rPr>
          <w:strike/>
        </w:rPr>
        <w:t>Da exigência de amostra</w:t>
      </w:r>
    </w:p>
    <w:p>
      <w:pPr>
        <w:pStyle w:val="Nvel2Red"/>
        <w:numPr>
          <w:ilvl w:val="1"/>
          <w:numId w:val="205"/>
        </w:numPr>
        <w:ind w:left="0" w:right="0" w:hanging="0"/>
        <w:rPr>
          <w:strike/>
        </w:rPr>
      </w:pPr>
      <w:r>
        <w:rPr>
          <w:strike/>
        </w:rPr>
        <w:t>Havendo o aceite da proposta quanto ao valor, o interessado classificado provisoriamente em primeiro lugar deverá apresentar amostra, que terá data, local e horário de sua realização divulgados por mensagem no sistema, cuja presença será facultada a todos os interessados, incluindo os demais fornecedores interessados.</w:t>
      </w:r>
    </w:p>
    <w:p>
      <w:pPr>
        <w:pStyle w:val="Nvel2Red"/>
        <w:numPr>
          <w:ilvl w:val="1"/>
          <w:numId w:val="206"/>
        </w:numPr>
        <w:ind w:left="0" w:right="0" w:hanging="0"/>
        <w:rPr>
          <w:strike/>
        </w:rPr>
      </w:pPr>
      <w:r>
        <w:rPr>
          <w:strike/>
        </w:rPr>
        <w:t>Serão exigidas amostras dos seguintes itens:</w:t>
      </w:r>
    </w:p>
    <w:p>
      <w:pPr>
        <w:pStyle w:val="Nvel3R"/>
        <w:numPr>
          <w:ilvl w:val="2"/>
          <w:numId w:val="207"/>
        </w:numPr>
        <w:ind w:left="284" w:hanging="0"/>
        <w:rPr>
          <w:strike/>
        </w:rPr>
      </w:pPr>
      <w:r>
        <w:rPr>
          <w:strike/>
        </w:rPr>
        <w:t>...</w:t>
      </w:r>
    </w:p>
    <w:p>
      <w:pPr>
        <w:pStyle w:val="Nvel3R"/>
        <w:numPr>
          <w:ilvl w:val="2"/>
          <w:numId w:val="208"/>
        </w:numPr>
        <w:ind w:left="284" w:hanging="0"/>
        <w:rPr>
          <w:strike/>
        </w:rPr>
      </w:pPr>
      <w:r>
        <w:rPr>
          <w:strike/>
        </w:rPr>
        <w:t>...</w:t>
      </w:r>
    </w:p>
    <w:p>
      <w:pPr>
        <w:pStyle w:val="Nvel3R"/>
        <w:numPr>
          <w:ilvl w:val="2"/>
          <w:numId w:val="209"/>
        </w:numPr>
        <w:ind w:left="284" w:hanging="0"/>
        <w:rPr>
          <w:strike/>
        </w:rPr>
      </w:pPr>
      <w:r>
        <w:rPr>
          <w:strike/>
        </w:rPr>
        <w:t>...</w:t>
      </w:r>
    </w:p>
    <w:p>
      <w:pPr>
        <w:pStyle w:val="Nvel2Red"/>
        <w:numPr>
          <w:ilvl w:val="1"/>
          <w:numId w:val="210"/>
        </w:numPr>
        <w:ind w:left="0" w:right="0" w:hanging="0"/>
        <w:rPr>
          <w:strike/>
        </w:rPr>
      </w:pPr>
      <w:r>
        <w:rPr>
          <w:strike/>
        </w:rPr>
        <w:t>As amostras poderão ser entregues no endereço ____ , no prazo limite de _____, sendo que a empresa assume total responsabilidade pelo envio e por eventual atraso na entrega.</w:t>
      </w:r>
    </w:p>
    <w:p>
      <w:pPr>
        <w:pStyle w:val="Nvel2Red"/>
        <w:numPr>
          <w:ilvl w:val="1"/>
          <w:numId w:val="211"/>
        </w:numPr>
        <w:ind w:left="0" w:right="0" w:hanging="0"/>
        <w:rPr>
          <w:strike/>
        </w:rPr>
      </w:pPr>
      <w:r>
        <w:rPr>
          <w:strike/>
        </w:rPr>
        <w:t>É facultada prorrogação o prazo estabelecido, a partir de solicitação fundamentada no chat pelo interessado, antes de findo o prazo.</w:t>
      </w:r>
    </w:p>
    <w:p>
      <w:pPr>
        <w:pStyle w:val="Nvel2Red"/>
        <w:numPr>
          <w:ilvl w:val="1"/>
          <w:numId w:val="212"/>
        </w:numPr>
        <w:ind w:left="0" w:right="0" w:hanging="0"/>
        <w:rPr>
          <w:strike/>
        </w:rPr>
      </w:pPr>
      <w:r>
        <w:rPr>
          <w:strike/>
        </w:rPr>
        <w:t>No caso de não haver entrega da amostra ou ocorrer atraso na entrega, sem justificativa aceita, ou havendo entrega de amostra fora das especificações previstas, a proposta será recusada.</w:t>
      </w:r>
    </w:p>
    <w:p>
      <w:pPr>
        <w:pStyle w:val="Nvel2Red"/>
        <w:numPr>
          <w:ilvl w:val="1"/>
          <w:numId w:val="213"/>
        </w:numPr>
        <w:ind w:left="0" w:right="0" w:hanging="0"/>
        <w:rPr>
          <w:strike/>
        </w:rPr>
      </w:pPr>
      <w:r>
        <w:rPr>
          <w:strike/>
        </w:rPr>
        <w:t>Serão avaliados os seguintes aspectos e padrões mínimos de aceitabilidade:</w:t>
      </w:r>
    </w:p>
    <w:p>
      <w:pPr>
        <w:pStyle w:val="Nvel3R"/>
        <w:numPr>
          <w:ilvl w:val="2"/>
          <w:numId w:val="214"/>
        </w:numPr>
        <w:ind w:left="284" w:hanging="0"/>
        <w:rPr>
          <w:strike/>
        </w:rPr>
      </w:pPr>
      <w:r>
        <w:rPr>
          <w:strike/>
        </w:rPr>
        <w:t>Itens (....): ...........;</w:t>
      </w:r>
    </w:p>
    <w:p>
      <w:pPr>
        <w:pStyle w:val="Nvel3R"/>
        <w:numPr>
          <w:ilvl w:val="2"/>
          <w:numId w:val="215"/>
        </w:numPr>
        <w:ind w:left="284" w:hanging="0"/>
        <w:rPr>
          <w:strike/>
        </w:rPr>
      </w:pPr>
      <w:r>
        <w:rPr>
          <w:strike/>
        </w:rPr>
        <w:t>Itens (....): ...........; .</w:t>
      </w:r>
    </w:p>
    <w:p>
      <w:pPr>
        <w:pStyle w:val="Nvel2Red"/>
        <w:numPr>
          <w:ilvl w:val="1"/>
          <w:numId w:val="216"/>
        </w:numPr>
        <w:ind w:left="0" w:right="0" w:hanging="0"/>
        <w:rPr>
          <w:strike/>
        </w:rPr>
      </w:pPr>
      <w:r>
        <w:rPr>
          <w:strike/>
        </w:rPr>
        <w:t>Os resultados das avaliações serão divulgados por meio de mensagem no sistema.</w:t>
      </w:r>
    </w:p>
    <w:p>
      <w:pPr>
        <w:pStyle w:val="Nvel2Red"/>
        <w:numPr>
          <w:ilvl w:val="1"/>
          <w:numId w:val="217"/>
        </w:numPr>
        <w:ind w:left="0" w:right="0" w:hanging="0"/>
        <w:rPr>
          <w:strike/>
        </w:rPr>
      </w:pPr>
      <w:r>
        <w:rPr>
          <w:strike/>
        </w:rPr>
        <w:t>Se a(s) amostra(s) apresentada(s) pelo primeiro classificado não for(em) aceita(s), será analisada a aceitabilidade da proposta ou lance ofertado pelo segundo classificado. Seguir-se-á com a verificação da(s) amostra(s) e, assim, sucessivamente, até a verificação de uma que atenda às especificações constantes neste Termo de Referência.</w:t>
      </w:r>
    </w:p>
    <w:p>
      <w:pPr>
        <w:pStyle w:val="Nvel2Red"/>
        <w:numPr>
          <w:ilvl w:val="1"/>
          <w:numId w:val="218"/>
        </w:numPr>
        <w:ind w:left="0" w:right="0" w:hanging="0"/>
        <w:rPr>
          <w:strike/>
        </w:rPr>
      </w:pPr>
      <w:r>
        <w:rPr>
          <w:strike/>
        </w:rPr>
        <w:t>Os exemplares colocados à disposição da Administração serão tratados como protótipos, podendo ser manuseados e desmontados pela equipe técnica responsável pela análise, não gerando direito a ressarcimento.</w:t>
      </w:r>
    </w:p>
    <w:p>
      <w:pPr>
        <w:pStyle w:val="Nvel2Red"/>
        <w:numPr>
          <w:ilvl w:val="1"/>
          <w:numId w:val="219"/>
        </w:numPr>
        <w:ind w:left="0" w:right="0" w:hanging="0"/>
        <w:rPr>
          <w:strike/>
        </w:rPr>
      </w:pPr>
      <w:r>
        <w:rPr>
          <w:strike/>
        </w:rPr>
        <w:t xml:space="preserve">Após a divulgação do resultado final do certame, as amostras entregues deverão ser recolhidas pelos fornecedores no prazo de ..... (.....) dias, após o qual poderão ser descartadas pela Administração, sem direito a ressarcimento. </w:t>
      </w:r>
    </w:p>
    <w:p>
      <w:pPr>
        <w:pStyle w:val="Nvel2Red"/>
        <w:numPr>
          <w:ilvl w:val="1"/>
          <w:numId w:val="220"/>
        </w:numPr>
        <w:ind w:left="0" w:right="0" w:hanging="0"/>
        <w:rPr>
          <w:strike/>
        </w:rPr>
      </w:pPr>
      <w:r>
        <w:rPr>
          <w:strike/>
        </w:rPr>
        <w:t>Os interessados deverão colocar à disposição da Administração todas as condições indispensáveis à realização de testes e fornecer, sem ônus, os manuais impressos em língua portuguesa, necessários ao seu perfeito manuseio, quando for o caso.</w:t>
      </w:r>
    </w:p>
    <w:p>
      <w:pPr>
        <w:pStyle w:val="Nvel1SemNum"/>
        <w:rPr>
          <w:i w:val="false"/>
          <w:i w:val="false"/>
          <w:iCs w:val="false"/>
          <w:color w:val="000000"/>
        </w:rPr>
      </w:pPr>
      <w:r>
        <w:rPr>
          <w:i w:val="false"/>
          <w:iCs w:val="false"/>
          <w:color w:val="000000"/>
        </w:rPr>
        <w:t>Da exigência de carta de solidariedade</w:t>
      </w:r>
    </w:p>
    <w:p>
      <w:pPr>
        <w:pStyle w:val="Nvel2Red"/>
        <w:numPr>
          <w:ilvl w:val="1"/>
          <w:numId w:val="221"/>
        </w:numPr>
        <w:ind w:left="0" w:right="0" w:hanging="0"/>
        <w:rPr>
          <w:i w:val="false"/>
          <w:i w:val="false"/>
          <w:iCs w:val="false"/>
          <w:color w:val="000000"/>
        </w:rPr>
      </w:pPr>
      <w:r>
        <w:rPr>
          <w:i w:val="false"/>
          <w:iCs w:val="false"/>
          <w:color w:val="000000"/>
        </w:rPr>
        <w:t>Em caso de fornecedor revendedor ou distribuidor, será exigida carta de solidariedade emitida pelo fabricante, que assegure a execução do contrato.</w:t>
      </w:r>
    </w:p>
    <w:p>
      <w:pPr>
        <w:pStyle w:val="Nvel1SemNumPreto"/>
        <w:rPr/>
      </w:pPr>
      <w:r>
        <w:rPr/>
        <w:t>Subcontratação</w:t>
      </w:r>
    </w:p>
    <w:p>
      <w:pPr>
        <w:pStyle w:val="Nivel2"/>
        <w:widowControl/>
        <w:numPr>
          <w:ilvl w:val="1"/>
          <w:numId w:val="222"/>
        </w:numPr>
        <w:suppressAutoHyphens w:val="true"/>
        <w:bidi w:val="0"/>
        <w:spacing w:lineRule="auto" w:line="276"/>
        <w:ind w:left="0" w:right="0" w:hanging="0"/>
        <w:jc w:val="both"/>
        <w:rPr>
          <w:rFonts w:ascii="Arial" w:hAnsi="Arial" w:eastAsia="Arial" w:cs="Arial"/>
          <w:color w:val="000000"/>
          <w:kern w:val="0"/>
          <w:sz w:val="20"/>
          <w:szCs w:val="20"/>
          <w:lang w:val="pt-BR" w:eastAsia="pt-BR" w:bidi="ar-SA"/>
        </w:rPr>
      </w:pPr>
      <w:r>
        <w:rPr/>
        <w:t>Não é admitida a subcontratação do objeto contratual.</w:t>
      </w:r>
    </w:p>
    <w:p>
      <w:pPr>
        <w:pStyle w:val="Nivel01"/>
        <w:numPr>
          <w:ilvl w:val="0"/>
          <w:numId w:val="4"/>
        </w:numPr>
        <w:ind w:left="0" w:hanging="0"/>
        <w:rPr/>
      </w:pPr>
      <w:r>
        <w:rPr/>
        <w:t>MODELO DE EXECUÇÃO DO OBJETO</w:t>
      </w:r>
    </w:p>
    <w:p>
      <w:pPr>
        <w:pStyle w:val="Nvel1SemNum"/>
        <w:keepNext w:val="true"/>
        <w:keepLines/>
        <w:widowControl/>
        <w:numPr>
          <w:ilvl w:val="0"/>
          <w:numId w:val="0"/>
        </w:numPr>
        <w:suppressAutoHyphens w:val="true"/>
        <w:bidi w:val="0"/>
        <w:spacing w:lineRule="auto" w:line="276"/>
        <w:ind w:left="0" w:hanging="0"/>
        <w:jc w:val="both"/>
        <w:outlineLvl w:val="1"/>
        <w:rPr/>
      </w:pPr>
      <w:r>
        <w:rPr>
          <w:rFonts w:eastAsia="" w:cs="Arial"/>
          <w:b/>
          <w:bCs/>
          <w:kern w:val="0"/>
          <w:sz w:val="20"/>
          <w:szCs w:val="20"/>
          <w:lang w:val="pt-BR" w:eastAsia="pt-BR" w:bidi="ar-SA"/>
        </w:rPr>
        <w:t>Condições de Entrega</w:t>
      </w:r>
    </w:p>
    <w:p>
      <w:pPr>
        <w:pStyle w:val="Normal"/>
        <w:numPr>
          <w:ilvl w:val="1"/>
          <w:numId w:val="223"/>
        </w:numPr>
        <w:spacing w:lineRule="auto" w:line="276" w:before="120" w:after="120"/>
        <w:ind w:left="425" w:hanging="0"/>
        <w:jc w:val="both"/>
        <w:rPr>
          <w:rFonts w:ascii="Arial" w:hAnsi="Arial"/>
          <w:sz w:val="20"/>
          <w:szCs w:val="20"/>
        </w:rPr>
      </w:pPr>
      <w:r>
        <w:rPr>
          <w:rFonts w:cs="Arial" w:ascii="Arial" w:hAnsi="Arial"/>
          <w:i w:val="false"/>
          <w:iCs w:val="false"/>
          <w:color w:val="000000"/>
          <w:sz w:val="20"/>
          <w:szCs w:val="20"/>
          <w:shd w:fill="FFFFFF" w:val="clear"/>
        </w:rPr>
        <w:t xml:space="preserve">O prazo de entrega dos bens é de </w:t>
      </w:r>
      <w:r>
        <w:rPr>
          <w:rFonts w:cs="Arial" w:ascii="Arial" w:hAnsi="Arial"/>
          <w:b/>
          <w:bCs/>
          <w:i w:val="false"/>
          <w:iCs w:val="false"/>
          <w:color w:val="000000"/>
          <w:sz w:val="20"/>
          <w:szCs w:val="20"/>
          <w:shd w:fill="FFFFFF" w:val="clear"/>
        </w:rPr>
        <w:t>30 (trinta) dias</w:t>
      </w:r>
      <w:r>
        <w:rPr>
          <w:rFonts w:cs="Arial" w:ascii="Arial" w:hAnsi="Arial"/>
          <w:i w:val="false"/>
          <w:iCs w:val="false"/>
          <w:color w:val="000000"/>
          <w:sz w:val="20"/>
          <w:szCs w:val="20"/>
          <w:shd w:fill="FFFFFF" w:val="clear"/>
        </w:rPr>
        <w:t xml:space="preserve">, contados da Nota de Empenho, em remessa única </w:t>
      </w:r>
      <w:r>
        <w:rPr>
          <w:rFonts w:cs="Arial" w:ascii="Arial" w:hAnsi="Arial"/>
          <w:i w:val="false"/>
          <w:iCs w:val="false"/>
          <w:color w:val="000000"/>
          <w:sz w:val="20"/>
          <w:szCs w:val="20"/>
          <w:u w:val="none"/>
          <w:shd w:fill="FFFFFF" w:val="clear"/>
        </w:rPr>
        <w:t xml:space="preserve">ou </w:t>
      </w:r>
      <w:r>
        <w:rPr>
          <w:rFonts w:cs="Arial" w:ascii="Arial" w:hAnsi="Arial"/>
          <w:i w:val="false"/>
          <w:iCs w:val="false"/>
          <w:color w:val="000000"/>
          <w:sz w:val="20"/>
          <w:szCs w:val="20"/>
          <w:shd w:fill="FFFFFF" w:val="clear"/>
        </w:rPr>
        <w:t xml:space="preserve">parcelada conforme a modalidade de empenho gerada, no seguinte endereço </w:t>
      </w:r>
      <w:r>
        <w:rPr>
          <w:rFonts w:cs="Arial" w:ascii="Arial" w:hAnsi="Arial"/>
          <w:b w:val="false"/>
          <w:bCs w:val="false"/>
          <w:i w:val="false"/>
          <w:iCs w:val="false"/>
          <w:color w:val="000000"/>
          <w:sz w:val="20"/>
          <w:szCs w:val="20"/>
          <w:shd w:fill="FFFFFF" w:val="clear"/>
        </w:rPr>
        <w:t>Avenida 17 de agosto, n° 784, Casa Forte, Recife-PE e nas Unidades participantes:</w:t>
      </w:r>
    </w:p>
    <w:p>
      <w:pPr>
        <w:pStyle w:val="Ou"/>
        <w:spacing w:lineRule="auto" w:line="312" w:before="120" w:after="288"/>
        <w:contextualSpacing/>
        <w:rPr>
          <w:szCs w:val="20"/>
        </w:rPr>
      </w:pPr>
      <w:r>
        <w:rPr>
          <w:szCs w:val="20"/>
        </w:rPr>
      </w:r>
    </w:p>
    <w:tbl>
      <w:tblPr>
        <w:tblW w:w="9626" w:type="dxa"/>
        <w:jc w:val="left"/>
        <w:tblInd w:w="77" w:type="dxa"/>
        <w:tblLayout w:type="fixed"/>
        <w:tblCellMar>
          <w:top w:w="55" w:type="dxa"/>
          <w:left w:w="55" w:type="dxa"/>
          <w:bottom w:w="55" w:type="dxa"/>
          <w:right w:w="55" w:type="dxa"/>
        </w:tblCellMar>
      </w:tblPr>
      <w:tblGrid>
        <w:gridCol w:w="435"/>
        <w:gridCol w:w="6745"/>
        <w:gridCol w:w="2446"/>
      </w:tblGrid>
      <w:tr>
        <w:trPr/>
        <w:tc>
          <w:tcPr>
            <w:tcW w:w="962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jc w:val="center"/>
              <w:rPr>
                <w:rFonts w:ascii="Arial" w:hAnsi="Arial"/>
                <w:b/>
                <w:b/>
                <w:bCs/>
                <w:sz w:val="20"/>
                <w:szCs w:val="20"/>
              </w:rPr>
            </w:pPr>
            <w:r>
              <w:rPr>
                <w:rFonts w:ascii="Arial" w:hAnsi="Arial"/>
                <w:b/>
                <w:bCs/>
                <w:sz w:val="20"/>
                <w:szCs w:val="20"/>
              </w:rPr>
              <w:t>Unidades Participantes</w:t>
            </w:r>
          </w:p>
        </w:tc>
      </w:tr>
      <w:tr>
        <w:trPr/>
        <w:tc>
          <w:tcPr>
            <w:tcW w:w="435" w:type="dxa"/>
            <w:tcBorders>
              <w:left w:val="single" w:sz="2" w:space="0" w:color="000000"/>
              <w:bottom w:val="single" w:sz="2" w:space="0" w:color="000000"/>
            </w:tcBorders>
          </w:tcPr>
          <w:p>
            <w:pPr>
              <w:pStyle w:val="Normal"/>
              <w:widowControl w:val="false"/>
              <w:jc w:val="center"/>
              <w:rPr>
                <w:rFonts w:ascii="Arial" w:hAnsi="Arial"/>
                <w:b/>
                <w:b/>
                <w:bCs/>
                <w:sz w:val="20"/>
                <w:szCs w:val="20"/>
              </w:rPr>
            </w:pPr>
            <w:r>
              <w:rPr>
                <w:rFonts w:ascii="Arial" w:hAnsi="Arial"/>
                <w:b/>
                <w:bCs/>
                <w:sz w:val="20"/>
                <w:szCs w:val="20"/>
              </w:rPr>
              <w:t>Nº</w:t>
            </w:r>
          </w:p>
        </w:tc>
        <w:tc>
          <w:tcPr>
            <w:tcW w:w="6745" w:type="dxa"/>
            <w:tcBorders>
              <w:left w:val="single" w:sz="2" w:space="0" w:color="000000"/>
              <w:bottom w:val="single" w:sz="2" w:space="0" w:color="000000"/>
            </w:tcBorders>
          </w:tcPr>
          <w:p>
            <w:pPr>
              <w:pStyle w:val="Normal"/>
              <w:widowControl w:val="false"/>
              <w:jc w:val="center"/>
              <w:rPr>
                <w:rFonts w:ascii="Arial" w:hAnsi="Arial"/>
                <w:b/>
                <w:b/>
                <w:bCs/>
                <w:sz w:val="20"/>
                <w:szCs w:val="20"/>
              </w:rPr>
            </w:pPr>
            <w:r>
              <w:rPr>
                <w:rFonts w:ascii="Arial" w:hAnsi="Arial"/>
                <w:b/>
                <w:bCs/>
                <w:sz w:val="20"/>
                <w:szCs w:val="20"/>
              </w:rPr>
              <w:t>Unidades</w:t>
            </w:r>
          </w:p>
        </w:tc>
        <w:tc>
          <w:tcPr>
            <w:tcW w:w="2446" w:type="dxa"/>
            <w:tcBorders>
              <w:left w:val="single" w:sz="2" w:space="0" w:color="000000"/>
              <w:bottom w:val="single" w:sz="2" w:space="0" w:color="000000"/>
              <w:right w:val="single" w:sz="2" w:space="0" w:color="000000"/>
            </w:tcBorders>
          </w:tcPr>
          <w:p>
            <w:pPr>
              <w:pStyle w:val="Normal"/>
              <w:widowControl w:val="false"/>
              <w:jc w:val="center"/>
              <w:rPr>
                <w:rFonts w:ascii="Arial" w:hAnsi="Arial"/>
                <w:b/>
                <w:b/>
                <w:bCs/>
                <w:sz w:val="20"/>
                <w:szCs w:val="20"/>
              </w:rPr>
            </w:pPr>
            <w:r>
              <w:rPr>
                <w:rFonts w:ascii="Arial" w:hAnsi="Arial"/>
                <w:b/>
                <w:bCs/>
                <w:sz w:val="20"/>
                <w:szCs w:val="20"/>
              </w:rPr>
              <w:t>Localização</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160195 - COMANDO DO COMANDO MILITAR DO NORDESTE</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2</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160200 – PARQUE REGIONAL DE MANUTENÇÃO/7</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3</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b w:val="false"/>
                <w:bCs w:val="false"/>
                <w:i w:val="false"/>
                <w:iCs w:val="false"/>
                <w:strike w:val="false"/>
                <w:dstrike w:val="false"/>
                <w:outline w:val="false"/>
                <w:shadow w:val="false"/>
                <w:color w:val="000000"/>
                <w:sz w:val="20"/>
                <w:szCs w:val="20"/>
                <w:u w:val="none"/>
              </w:rPr>
              <w:t xml:space="preserve">160179 - </w:t>
            </w:r>
            <w:r>
              <w:rPr>
                <w:rFonts w:ascii="Arial" w:hAnsi="Arial"/>
                <w:b w:val="false"/>
                <w:i w:val="false"/>
                <w:caps/>
                <w:color w:val="000000"/>
                <w:spacing w:val="0"/>
                <w:sz w:val="20"/>
                <w:szCs w:val="20"/>
              </w:rPr>
              <w:t>3º CENTRO DE GEOINFORMAÇÃO</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Olinda/PE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4</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160201 - COMISSÃO REGIONAL DE OBRAS/7</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5</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160084 - COLÉGIO MILITAR DE RECIFE</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6</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160191 - CENTRO PREPARAÇÃO OFICIAIS DA RESERVA/RECIFE</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7</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160225 - BASE ADMINISTRATIVA DO CURADO - PE</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8</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160185 - 14 BATALHÃO LOGÍSTICO</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Recife/PE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9</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160177 - 71 BATALHÃO DE INFANTARIA MOTORIZADO</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Garanhuns/PE</w:t>
            </w:r>
          </w:p>
        </w:tc>
      </w:tr>
      <w:tr>
        <w:trPr/>
        <w:tc>
          <w:tcPr>
            <w:tcW w:w="43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10</w:t>
            </w:r>
          </w:p>
        </w:tc>
        <w:tc>
          <w:tcPr>
            <w:tcW w:w="6745" w:type="dxa"/>
            <w:tcBorders>
              <w:left w:val="single" w:sz="2" w:space="0" w:color="000000"/>
              <w:bottom w:val="single" w:sz="2" w:space="0" w:color="000000"/>
            </w:tcBorders>
          </w:tcPr>
          <w:p>
            <w:pPr>
              <w:pStyle w:val="Normal"/>
              <w:widowControl w:val="false"/>
              <w:rPr>
                <w:rFonts w:ascii="Arial" w:hAnsi="Arial"/>
                <w:sz w:val="20"/>
                <w:szCs w:val="20"/>
              </w:rPr>
            </w:pPr>
            <w:r>
              <w:rPr>
                <w:rFonts w:ascii="Arial" w:hAnsi="Arial"/>
                <w:sz w:val="20"/>
                <w:szCs w:val="20"/>
              </w:rPr>
              <w:t>160023 - 10A. COMPANHIA DE ENGENHARIA DE COMBATE</w:t>
            </w:r>
          </w:p>
        </w:tc>
        <w:tc>
          <w:tcPr>
            <w:tcW w:w="2446" w:type="dxa"/>
            <w:tcBorders>
              <w:left w:val="single" w:sz="2" w:space="0" w:color="000000"/>
              <w:bottom w:val="single" w:sz="2" w:space="0" w:color="000000"/>
              <w:right w:val="single" w:sz="2" w:space="0" w:color="000000"/>
            </w:tcBorders>
          </w:tcPr>
          <w:p>
            <w:pPr>
              <w:pStyle w:val="Normal"/>
              <w:widowControl w:val="false"/>
              <w:rPr>
                <w:rFonts w:ascii="Arial" w:hAnsi="Arial"/>
                <w:sz w:val="20"/>
                <w:szCs w:val="20"/>
              </w:rPr>
            </w:pPr>
            <w:r>
              <w:rPr>
                <w:rFonts w:ascii="Arial" w:hAnsi="Arial"/>
                <w:sz w:val="20"/>
                <w:szCs w:val="20"/>
              </w:rPr>
              <w:t>São Bento do Una/PE</w:t>
            </w:r>
          </w:p>
        </w:tc>
      </w:tr>
    </w:tbl>
    <w:p>
      <w:pPr>
        <w:pStyle w:val="Nvel2Red"/>
        <w:numPr>
          <w:ilvl w:val="1"/>
          <w:numId w:val="224"/>
        </w:numPr>
        <w:spacing w:lineRule="auto" w:line="312" w:before="6" w:after="174"/>
        <w:ind w:left="0" w:right="0" w:firstLine="709"/>
        <w:rPr>
          <w:i w:val="false"/>
          <w:i w:val="false"/>
          <w:iCs w:val="false"/>
          <w:color w:val="000000"/>
        </w:rPr>
      </w:pPr>
      <w:r>
        <w:rPr>
          <w:i w:val="false"/>
          <w:iCs w:val="false"/>
          <w:color w:val="000000"/>
        </w:rPr>
        <w:t xml:space="preserve">Caso não seja possível a entrega na data assinalada, a empresa deverá comunicar as razões respectivas com pelo menos </w:t>
      </w:r>
      <w:r>
        <w:rPr>
          <w:b/>
          <w:bCs/>
          <w:i w:val="false"/>
          <w:iCs w:val="false"/>
          <w:color w:val="000000"/>
        </w:rPr>
        <w:t>30 (trinta) dias</w:t>
      </w:r>
      <w:r>
        <w:rPr>
          <w:i w:val="false"/>
          <w:iCs w:val="false"/>
          <w:color w:val="000000"/>
        </w:rPr>
        <w:t xml:space="preserve"> de antecedência para que qualquer pleito de prorrogação de prazo seja analisado, ressalvadas situações de caso fortuito e força maior.</w:t>
      </w:r>
    </w:p>
    <w:p>
      <w:pPr>
        <w:pStyle w:val="Nivel2"/>
        <w:widowControl/>
        <w:numPr>
          <w:ilvl w:val="1"/>
          <w:numId w:val="225"/>
        </w:numPr>
        <w:suppressAutoHyphens w:val="true"/>
        <w:bidi w:val="0"/>
        <w:spacing w:lineRule="auto" w:line="312"/>
        <w:ind w:left="0" w:right="0" w:firstLine="709"/>
        <w:jc w:val="both"/>
        <w:rPr/>
      </w:pPr>
      <w:r>
        <w:rPr/>
        <w:t>Os bens deverão ser entregues nos seguintes endereços:</w:t>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eastAsia="Times New Roman" w:cs="Arial" w:ascii="Arial" w:hAnsi="Arial"/>
          <w:b w:val="false"/>
          <w:bCs w:val="false"/>
          <w:color w:val="000000"/>
          <w:sz w:val="20"/>
          <w:szCs w:val="20"/>
          <w:lang w:val="pt-BR" w:eastAsia="ar-SA" w:bidi="ar-SA"/>
        </w:rPr>
        <w:t>COMANDO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MILITAR</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NORDESTE</w:t>
      </w:r>
      <w:r>
        <w:rPr>
          <w:rFonts w:eastAsia="Arial" w:cs="Arial" w:ascii="Arial" w:hAnsi="Arial"/>
          <w:b w:val="false"/>
          <w:bCs w:val="false"/>
          <w:color w:val="000000"/>
          <w:sz w:val="20"/>
          <w:szCs w:val="20"/>
          <w:lang w:val="pt-BR" w:eastAsia="ar-SA" w:bidi="ar-SA"/>
        </w:rPr>
        <w:t xml:space="preserve"> – </w:t>
      </w:r>
      <w:r>
        <w:rPr>
          <w:rFonts w:cs="Arial" w:ascii="Arial" w:hAnsi="Arial"/>
          <w:b w:val="false"/>
          <w:bCs w:val="false"/>
          <w:color w:val="000000"/>
          <w:sz w:val="20"/>
          <w:szCs w:val="20"/>
          <w:lang w:val="pt-BR" w:eastAsia="ar-SA" w:bidi="ar-SA"/>
        </w:rPr>
        <w:t>Almoxarifado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localizado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no</w:t>
      </w:r>
      <w:r>
        <w:rPr>
          <w:rFonts w:eastAsia="Arial" w:cs="Arial" w:ascii="Arial" w:hAnsi="Arial"/>
          <w:b w:val="false"/>
          <w:bCs w:val="false"/>
          <w:color w:val="000000"/>
          <w:sz w:val="20"/>
          <w:szCs w:val="20"/>
          <w:lang w:val="pt-BR" w:eastAsia="ar-SA" w:bidi="ar-SA"/>
        </w:rPr>
        <w:t xml:space="preserve"> </w:t>
      </w:r>
      <w:r>
        <w:rPr>
          <w:rFonts w:eastAsia="Times new roman" w:cs="Arial" w:ascii="Arial" w:hAnsi="Arial"/>
          <w:b w:val="false"/>
          <w:bCs w:val="false"/>
          <w:color w:val="000000"/>
          <w:sz w:val="20"/>
          <w:szCs w:val="20"/>
          <w:lang w:val="pt-BR" w:eastAsia="ar-SA" w:bidi="ar-SA"/>
        </w:rPr>
        <w:t>Km</w:t>
      </w:r>
      <w:r>
        <w:rPr>
          <w:rFonts w:eastAsia="Arial" w:cs="Arial" w:ascii="Arial" w:hAnsi="Arial"/>
          <w:b w:val="false"/>
          <w:bCs w:val="false"/>
          <w:color w:val="000000"/>
          <w:sz w:val="20"/>
          <w:szCs w:val="20"/>
          <w:lang w:val="pt-BR" w:eastAsia="ar-SA" w:bidi="ar-SA"/>
        </w:rPr>
        <w:t xml:space="preserve"> 11 </w:t>
      </w:r>
      <w:r>
        <w:rPr>
          <w:rFonts w:cs="Arial" w:ascii="Arial" w:hAnsi="Arial"/>
          <w:b w:val="false"/>
          <w:bCs w:val="false"/>
          <w:color w:val="000000"/>
          <w:sz w:val="20"/>
          <w:szCs w:val="20"/>
          <w:lang w:val="pt-BR" w:eastAsia="ar-SA" w:bidi="ar-SA"/>
        </w:rPr>
        <w:t>da</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BR</w:t>
      </w:r>
      <w:r>
        <w:rPr>
          <w:rFonts w:eastAsia="Arial" w:cs="Arial" w:ascii="Arial" w:hAnsi="Arial"/>
          <w:b w:val="false"/>
          <w:bCs w:val="false"/>
          <w:color w:val="000000"/>
          <w:sz w:val="20"/>
          <w:szCs w:val="20"/>
          <w:lang w:val="pt-BR" w:eastAsia="ar-SA" w:bidi="ar-SA"/>
        </w:rPr>
        <w:t xml:space="preserve"> 232 - </w:t>
      </w:r>
      <w:r>
        <w:rPr>
          <w:rFonts w:cs="Arial" w:ascii="Arial" w:hAnsi="Arial"/>
          <w:b w:val="false"/>
          <w:bCs w:val="false"/>
          <w:color w:val="000000"/>
          <w:sz w:val="20"/>
          <w:szCs w:val="20"/>
          <w:lang w:val="pt-BR" w:eastAsia="ar-SA" w:bidi="ar-SA"/>
        </w:rPr>
        <w:t>Curado</w:t>
      </w:r>
      <w:r>
        <w:rPr>
          <w:rFonts w:eastAsia="Arial" w:cs="Arial" w:ascii="Arial" w:hAnsi="Arial"/>
          <w:b w:val="false"/>
          <w:bCs w:val="false"/>
          <w:color w:val="000000"/>
          <w:sz w:val="20"/>
          <w:szCs w:val="20"/>
          <w:lang w:val="pt-BR" w:eastAsia="ar-SA" w:bidi="ar-SA"/>
        </w:rPr>
        <w:t xml:space="preserve"> – </w:t>
      </w:r>
      <w:r>
        <w:rPr>
          <w:rFonts w:cs="Arial" w:ascii="Arial" w:hAnsi="Arial"/>
          <w:b w:val="false"/>
          <w:bCs w:val="false"/>
          <w:color w:val="000000"/>
          <w:sz w:val="20"/>
          <w:szCs w:val="20"/>
          <w:lang w:val="pt-BR" w:eastAsia="ar-SA" w:bidi="ar-SA"/>
        </w:rPr>
        <w:t>Recife</w:t>
      </w:r>
      <w:r>
        <w:rPr>
          <w:rFonts w:eastAsia="Arial" w:cs="Arial" w:ascii="Arial" w:hAnsi="Arial"/>
          <w:b w:val="false"/>
          <w:bCs w:val="false"/>
          <w:color w:val="000000"/>
          <w:sz w:val="20"/>
          <w:szCs w:val="20"/>
          <w:lang w:val="pt-BR" w:eastAsia="ar-SA" w:bidi="ar-SA"/>
        </w:rPr>
        <w:t xml:space="preserve"> – </w:t>
      </w:r>
      <w:r>
        <w:rPr>
          <w:rFonts w:cs="Arial" w:ascii="Arial" w:hAnsi="Arial"/>
          <w:b w:val="false"/>
          <w:bCs w:val="false"/>
          <w:color w:val="000000"/>
          <w:sz w:val="20"/>
          <w:szCs w:val="20"/>
          <w:lang w:val="pt-BR" w:eastAsia="ar-SA" w:bidi="ar-SA"/>
        </w:rPr>
        <w:t>PE</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telefone</w:t>
      </w:r>
      <w:r>
        <w:rPr>
          <w:rFonts w:eastAsia="Arial" w:cs="Arial" w:ascii="Arial" w:hAnsi="Arial"/>
          <w:b w:val="false"/>
          <w:bCs w:val="false"/>
          <w:color w:val="000000"/>
          <w:sz w:val="20"/>
          <w:szCs w:val="20"/>
          <w:lang w:val="pt-BR" w:eastAsia="ar-SA" w:bidi="ar-SA"/>
        </w:rPr>
        <w:t xml:space="preserve"> ( 81) 2129-6147 / 2129-6154;</w:t>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cs="Arial" w:ascii="Arial" w:hAnsi="Arial"/>
          <w:b w:val="false"/>
          <w:bCs w:val="false"/>
          <w:color w:val="000000"/>
          <w:sz w:val="20"/>
          <w:szCs w:val="20"/>
          <w:lang w:val="pt-BR" w:eastAsia="ar-SA" w:bidi="ar-SA"/>
        </w:rPr>
        <w:t>PARQUE</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REGIONAL</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DE</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MANUTENÇÃO</w:t>
      </w:r>
      <w:r>
        <w:rPr>
          <w:rFonts w:eastAsia="Arial" w:cs="Arial" w:ascii="Arial" w:hAnsi="Arial"/>
          <w:b w:val="false"/>
          <w:bCs w:val="false"/>
          <w:color w:val="000000"/>
          <w:sz w:val="20"/>
          <w:szCs w:val="20"/>
          <w:lang w:val="pt-BR" w:eastAsia="ar-SA" w:bidi="ar-SA"/>
        </w:rPr>
        <w:t xml:space="preserve">/7 – </w:t>
      </w:r>
      <w:r>
        <w:rPr>
          <w:rFonts w:cs="Arial" w:ascii="Arial" w:hAnsi="Arial"/>
          <w:b w:val="false"/>
          <w:bCs w:val="false"/>
          <w:color w:val="000000"/>
          <w:sz w:val="20"/>
          <w:szCs w:val="20"/>
          <w:lang w:val="pt-BR" w:eastAsia="ar-SA" w:bidi="ar-SA"/>
        </w:rPr>
        <w:t>Almoxarifado</w:t>
      </w:r>
      <w:r>
        <w:rPr>
          <w:rFonts w:eastAsia="Arial" w:cs="Arial" w:ascii="Arial" w:hAnsi="Arial"/>
          <w:b w:val="false"/>
          <w:bCs w:val="false"/>
          <w:color w:val="000000"/>
          <w:sz w:val="20"/>
          <w:szCs w:val="20"/>
          <w:lang w:val="pt-BR" w:eastAsia="ar-SA" w:bidi="ar-SA"/>
        </w:rPr>
        <w:t>/</w:t>
      </w:r>
      <w:r>
        <w:rPr>
          <w:rFonts w:cs="Arial" w:ascii="Arial" w:hAnsi="Arial"/>
          <w:b w:val="false"/>
          <w:bCs w:val="false"/>
          <w:color w:val="000000"/>
          <w:sz w:val="20"/>
          <w:szCs w:val="20"/>
          <w:lang w:val="pt-BR" w:eastAsia="ar-SA" w:bidi="ar-SA"/>
        </w:rPr>
        <w:t>Suprimento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localizado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na</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pt-BR" w:bidi="pt-BR"/>
        </w:rPr>
        <w:t>Avenida</w:t>
      </w:r>
      <w:r>
        <w:rPr>
          <w:rFonts w:eastAsia="Arial" w:cs="Arial" w:ascii="Arial" w:hAnsi="Arial"/>
          <w:b w:val="false"/>
          <w:bCs w:val="false"/>
          <w:color w:val="000000"/>
          <w:sz w:val="20"/>
          <w:szCs w:val="20"/>
          <w:lang w:val="pt-BR" w:eastAsia="pt-BR" w:bidi="pt-BR"/>
        </w:rPr>
        <w:t xml:space="preserve"> 17 </w:t>
      </w:r>
      <w:r>
        <w:rPr>
          <w:rFonts w:cs="Arial" w:ascii="Arial" w:hAnsi="Arial"/>
          <w:b w:val="false"/>
          <w:bCs w:val="false"/>
          <w:color w:val="000000"/>
          <w:sz w:val="20"/>
          <w:szCs w:val="20"/>
          <w:lang w:val="pt-BR" w:eastAsia="pt-BR" w:bidi="pt-BR"/>
        </w:rPr>
        <w:t>de</w:t>
      </w:r>
      <w:r>
        <w:rPr>
          <w:rFonts w:eastAsia="Arial" w:cs="Arial" w:ascii="Arial" w:hAnsi="Arial"/>
          <w:b w:val="false"/>
          <w:bCs w:val="false"/>
          <w:color w:val="000000"/>
          <w:sz w:val="20"/>
          <w:szCs w:val="20"/>
          <w:lang w:val="pt-BR" w:eastAsia="pt-BR" w:bidi="pt-BR"/>
        </w:rPr>
        <w:t xml:space="preserve"> </w:t>
      </w:r>
      <w:r>
        <w:rPr>
          <w:rFonts w:cs="Arial" w:ascii="Arial" w:hAnsi="Arial"/>
          <w:b w:val="false"/>
          <w:bCs w:val="false"/>
          <w:color w:val="000000"/>
          <w:sz w:val="20"/>
          <w:szCs w:val="20"/>
          <w:lang w:val="pt-BR" w:eastAsia="pt-BR" w:bidi="pt-BR"/>
        </w:rPr>
        <w:t>Agosto</w:t>
      </w:r>
      <w:r>
        <w:rPr>
          <w:rFonts w:eastAsia="Arial" w:cs="Arial" w:ascii="Arial" w:hAnsi="Arial"/>
          <w:b w:val="false"/>
          <w:bCs w:val="false"/>
          <w:color w:val="000000"/>
          <w:sz w:val="20"/>
          <w:szCs w:val="20"/>
          <w:lang w:val="pt-BR" w:eastAsia="pt-BR" w:bidi="pt-BR"/>
        </w:rPr>
        <w:t xml:space="preserve">, </w:t>
      </w:r>
      <w:r>
        <w:rPr>
          <w:rFonts w:cs="Arial" w:ascii="Arial" w:hAnsi="Arial"/>
          <w:b w:val="false"/>
          <w:bCs w:val="false"/>
          <w:color w:val="000000"/>
          <w:sz w:val="20"/>
          <w:szCs w:val="20"/>
          <w:lang w:val="pt-BR" w:eastAsia="pt-BR" w:bidi="pt-BR"/>
        </w:rPr>
        <w:t>nº</w:t>
      </w:r>
      <w:r>
        <w:rPr>
          <w:rFonts w:eastAsia="Arial" w:cs="Arial" w:ascii="Arial" w:hAnsi="Arial"/>
          <w:b w:val="false"/>
          <w:bCs w:val="false"/>
          <w:color w:val="000000"/>
          <w:sz w:val="20"/>
          <w:szCs w:val="20"/>
          <w:lang w:val="pt-BR" w:eastAsia="pt-BR" w:bidi="pt-BR"/>
        </w:rPr>
        <w:t xml:space="preserve"> 784, </w:t>
      </w:r>
      <w:r>
        <w:rPr>
          <w:rFonts w:cs="Arial" w:ascii="Arial" w:hAnsi="Arial"/>
          <w:b w:val="false"/>
          <w:bCs w:val="false"/>
          <w:color w:val="000000"/>
          <w:sz w:val="20"/>
          <w:szCs w:val="20"/>
          <w:lang w:val="pt-BR" w:eastAsia="pt-BR" w:bidi="pt-BR"/>
        </w:rPr>
        <w:t>Casa</w:t>
      </w:r>
      <w:r>
        <w:rPr>
          <w:rFonts w:eastAsia="Arial" w:cs="Arial" w:ascii="Arial" w:hAnsi="Arial"/>
          <w:b w:val="false"/>
          <w:bCs w:val="false"/>
          <w:color w:val="000000"/>
          <w:sz w:val="20"/>
          <w:szCs w:val="20"/>
          <w:lang w:val="pt-BR" w:eastAsia="pt-BR" w:bidi="pt-BR"/>
        </w:rPr>
        <w:t xml:space="preserve"> </w:t>
      </w:r>
      <w:r>
        <w:rPr>
          <w:rFonts w:cs="Arial" w:ascii="Arial" w:hAnsi="Arial"/>
          <w:b w:val="false"/>
          <w:bCs w:val="false"/>
          <w:color w:val="000000"/>
          <w:sz w:val="20"/>
          <w:szCs w:val="20"/>
          <w:lang w:val="pt-BR" w:eastAsia="pt-BR" w:bidi="pt-BR"/>
        </w:rPr>
        <w:t>Forte</w:t>
      </w:r>
      <w:r>
        <w:rPr>
          <w:rFonts w:eastAsia="Arial" w:cs="Arial" w:ascii="Arial" w:hAnsi="Arial"/>
          <w:b w:val="false"/>
          <w:bCs w:val="false"/>
          <w:color w:val="000000"/>
          <w:sz w:val="20"/>
          <w:szCs w:val="20"/>
          <w:lang w:val="pt-BR" w:eastAsia="pt-BR" w:bidi="pt-BR"/>
        </w:rPr>
        <w:t xml:space="preserve">, </w:t>
      </w:r>
      <w:r>
        <w:rPr>
          <w:rFonts w:cs="Arial" w:ascii="Arial" w:hAnsi="Arial"/>
          <w:b w:val="false"/>
          <w:bCs w:val="false"/>
          <w:color w:val="000000"/>
          <w:sz w:val="20"/>
          <w:szCs w:val="20"/>
          <w:lang w:val="pt-BR" w:eastAsia="pt-BR" w:bidi="pt-BR"/>
        </w:rPr>
        <w:t>Recife</w:t>
      </w:r>
      <w:r>
        <w:rPr>
          <w:rFonts w:eastAsia="Arial" w:cs="Arial" w:ascii="Arial" w:hAnsi="Arial"/>
          <w:b w:val="false"/>
          <w:bCs w:val="false"/>
          <w:color w:val="000000"/>
          <w:sz w:val="20"/>
          <w:szCs w:val="20"/>
          <w:lang w:val="pt-BR" w:eastAsia="pt-BR" w:bidi="pt-BR"/>
        </w:rPr>
        <w:t xml:space="preserve"> – </w:t>
      </w:r>
      <w:r>
        <w:rPr>
          <w:rFonts w:cs="Arial" w:ascii="Arial" w:hAnsi="Arial"/>
          <w:b w:val="false"/>
          <w:bCs w:val="false"/>
          <w:color w:val="000000"/>
          <w:sz w:val="20"/>
          <w:szCs w:val="20"/>
          <w:lang w:val="pt-BR" w:eastAsia="pt-BR" w:bidi="pt-BR"/>
        </w:rPr>
        <w:t>PE</w:t>
      </w:r>
      <w:r>
        <w:rPr>
          <w:rFonts w:eastAsia="Arial" w:cs="Arial" w:ascii="Arial" w:hAnsi="Arial"/>
          <w:b w:val="false"/>
          <w:bCs w:val="false"/>
          <w:color w:val="000000"/>
          <w:sz w:val="20"/>
          <w:szCs w:val="20"/>
          <w:lang w:val="pt-BR" w:eastAsia="pt-BR" w:bidi="pt-BR"/>
        </w:rPr>
        <w:t xml:space="preserve">, </w:t>
      </w:r>
      <w:r>
        <w:rPr>
          <w:rFonts w:cs="Arial" w:ascii="Arial" w:hAnsi="Arial"/>
          <w:b w:val="false"/>
          <w:bCs w:val="false"/>
          <w:color w:val="000000"/>
          <w:sz w:val="20"/>
          <w:szCs w:val="20"/>
          <w:lang w:val="pt-BR" w:eastAsia="pt-BR" w:bidi="pt-BR"/>
        </w:rPr>
        <w:t>CEP</w:t>
      </w:r>
      <w:r>
        <w:rPr>
          <w:rFonts w:eastAsia="Arial" w:cs="Arial" w:ascii="Arial" w:hAnsi="Arial"/>
          <w:b w:val="false"/>
          <w:bCs w:val="false"/>
          <w:color w:val="000000"/>
          <w:sz w:val="20"/>
          <w:szCs w:val="20"/>
          <w:lang w:val="pt-BR" w:eastAsia="pt-BR" w:bidi="pt-BR"/>
        </w:rPr>
        <w:t>: 52.060 - 590</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telefone</w:t>
      </w:r>
      <w:r>
        <w:rPr>
          <w:rFonts w:eastAsia="Arial" w:cs="Arial" w:ascii="Arial" w:hAnsi="Arial"/>
          <w:b w:val="false"/>
          <w:bCs w:val="false"/>
          <w:color w:val="000000"/>
          <w:sz w:val="20"/>
          <w:szCs w:val="20"/>
          <w:lang w:val="pt-BR" w:eastAsia="ar-SA" w:bidi="ar-SA"/>
        </w:rPr>
        <w:t xml:space="preserve"> (81) 3441-7744 / 3441-7589;</w:t>
      </w:r>
    </w:p>
    <w:p>
      <w:pPr>
        <w:pStyle w:val="Normal"/>
        <w:widowControl/>
        <w:suppressAutoHyphens w:val="true"/>
        <w:bidi w:val="0"/>
        <w:spacing w:before="0" w:after="0"/>
        <w:ind w:left="85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 xml:space="preserve">3ª </w:t>
      </w:r>
      <w:r>
        <w:rPr>
          <w:rFonts w:eastAsia="Arial" w:cs="Arial" w:ascii="Arial" w:hAnsi="Arial"/>
          <w:b w:val="false"/>
          <w:bCs w:val="false"/>
          <w:i w:val="false"/>
          <w:caps/>
          <w:color w:val="000000"/>
          <w:spacing w:val="0"/>
          <w:sz w:val="20"/>
          <w:szCs w:val="20"/>
          <w:lang w:val="pt-BR" w:eastAsia="ar-SA" w:bidi="ar-SA"/>
        </w:rPr>
        <w:t>CENTRO DE GEOINFORMAÇÃO</w:t>
      </w:r>
      <w:r>
        <w:rPr>
          <w:rFonts w:eastAsia="Arial" w:cs="Arial" w:ascii="Arial" w:hAnsi="Arial"/>
          <w:b w:val="false"/>
          <w:bCs w:val="false"/>
          <w:color w:val="000000"/>
          <w:sz w:val="20"/>
          <w:szCs w:val="20"/>
          <w:lang w:val="pt-BR" w:eastAsia="ar-SA" w:bidi="ar-SA"/>
        </w:rPr>
        <w:t xml:space="preserve"> – Almoxarifado, localizado na Avenida Joaquim Nabuco, 1687, Guadalupe, Olinda – Pernambuco, telefone (81) 3439-3033; </w:t>
      </w:r>
    </w:p>
    <w:p>
      <w:pPr>
        <w:pStyle w:val="Normal"/>
        <w:ind w:hanging="0"/>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cs="Arial" w:ascii="Arial" w:hAnsi="Arial"/>
          <w:b w:val="false"/>
          <w:bCs w:val="false"/>
          <w:color w:val="000000"/>
          <w:sz w:val="20"/>
          <w:szCs w:val="20"/>
          <w:lang w:val="pt-BR" w:eastAsia="ar-SA" w:bidi="ar-SA"/>
        </w:rPr>
        <w:t>COMISSÃO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REGIONAL</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DE</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OBRAS</w:t>
      </w:r>
      <w:r>
        <w:rPr>
          <w:rFonts w:eastAsia="Arial" w:cs="Arial" w:ascii="Arial" w:hAnsi="Arial"/>
          <w:b w:val="false"/>
          <w:bCs w:val="false"/>
          <w:color w:val="000000"/>
          <w:sz w:val="20"/>
          <w:szCs w:val="20"/>
          <w:lang w:val="pt-BR" w:eastAsia="ar-SA" w:bidi="ar-SA"/>
        </w:rPr>
        <w:t xml:space="preserve"> / 7 – </w:t>
      </w:r>
      <w:r>
        <w:rPr>
          <w:rFonts w:cs="Arial" w:ascii="Arial" w:hAnsi="Arial"/>
          <w:b w:val="false"/>
          <w:bCs w:val="false"/>
          <w:color w:val="000000"/>
          <w:sz w:val="20"/>
          <w:szCs w:val="20"/>
          <w:lang w:val="pt-BR" w:eastAsia="ar-SA" w:bidi="ar-SA"/>
        </w:rPr>
        <w:t>Almoxarifado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localizado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na</w:t>
      </w:r>
      <w:r>
        <w:rPr>
          <w:rFonts w:eastAsia="Arial" w:cs="Arial" w:ascii="Arial" w:hAnsi="Arial"/>
          <w:b w:val="false"/>
          <w:bCs w:val="false"/>
          <w:color w:val="000000"/>
          <w:sz w:val="20"/>
          <w:szCs w:val="20"/>
          <w:lang w:val="pt-BR" w:eastAsia="ar-SA" w:bidi="ar-SA"/>
        </w:rPr>
        <w:t xml:space="preserve"> </w:t>
      </w:r>
      <w:r>
        <w:rPr>
          <w:rFonts w:eastAsia="Times New Roman" w:cs="Arial" w:ascii="Arial" w:hAnsi="Arial"/>
          <w:b w:val="false"/>
          <w:bCs w:val="false"/>
          <w:color w:val="000000"/>
          <w:sz w:val="20"/>
          <w:szCs w:val="20"/>
          <w:lang w:val="pt-BR" w:eastAsia="ar-SA" w:bidi="ar-SA"/>
        </w:rPr>
        <w:t>Av</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Norte</w:t>
      </w:r>
      <w:r>
        <w:rPr>
          <w:rFonts w:eastAsia="Arial" w:cs="Arial" w:ascii="Arial" w:hAnsi="Arial"/>
          <w:b w:val="false"/>
          <w:bCs w:val="false"/>
          <w:color w:val="000000"/>
          <w:sz w:val="20"/>
          <w:szCs w:val="20"/>
          <w:lang w:val="pt-BR" w:eastAsia="ar-SA" w:bidi="ar-SA"/>
        </w:rPr>
        <w:t xml:space="preserve">, 245, </w:t>
      </w:r>
      <w:r>
        <w:rPr>
          <w:rFonts w:eastAsia="Times New Roman" w:cs="Arial" w:ascii="Arial" w:hAnsi="Arial"/>
          <w:b w:val="false"/>
          <w:bCs w:val="false"/>
          <w:color w:val="000000"/>
          <w:sz w:val="20"/>
          <w:szCs w:val="20"/>
          <w:lang w:val="pt-BR" w:eastAsia="ar-SA" w:bidi="ar-SA"/>
        </w:rPr>
        <w:t>Santo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Amaro</w:t>
      </w:r>
      <w:r>
        <w:rPr>
          <w:rFonts w:eastAsia="Arial" w:cs="Arial" w:ascii="Arial" w:hAnsi="Arial"/>
          <w:b w:val="false"/>
          <w:bCs w:val="false"/>
          <w:color w:val="000000"/>
          <w:sz w:val="20"/>
          <w:szCs w:val="20"/>
          <w:lang w:val="pt-BR" w:eastAsia="ar-SA" w:bidi="ar-SA"/>
        </w:rPr>
        <w:t xml:space="preserve">, </w:t>
      </w:r>
      <w:r>
        <w:rPr>
          <w:rFonts w:cs="Arial" w:ascii="Arial" w:hAnsi="Arial"/>
          <w:b w:val="false"/>
          <w:bCs w:val="false"/>
          <w:color w:val="000000"/>
          <w:sz w:val="20"/>
          <w:szCs w:val="20"/>
          <w:lang w:val="pt-BR" w:eastAsia="ar-SA" w:bidi="ar-SA"/>
        </w:rPr>
        <w:t>Recife</w:t>
      </w:r>
      <w:r>
        <w:rPr>
          <w:rFonts w:eastAsia="Arial" w:cs="Arial" w:ascii="Arial" w:hAnsi="Arial"/>
          <w:b w:val="false"/>
          <w:bCs w:val="false"/>
          <w:color w:val="000000"/>
          <w:sz w:val="20"/>
          <w:szCs w:val="20"/>
          <w:lang w:val="pt-BR" w:eastAsia="ar-SA" w:bidi="ar-SA"/>
        </w:rPr>
        <w:t xml:space="preserve"> – </w:t>
      </w:r>
      <w:r>
        <w:rPr>
          <w:rFonts w:cs="Arial" w:ascii="Arial" w:hAnsi="Arial"/>
          <w:b w:val="false"/>
          <w:bCs w:val="false"/>
          <w:color w:val="000000"/>
          <w:sz w:val="20"/>
          <w:szCs w:val="20"/>
          <w:lang w:val="pt-BR" w:eastAsia="ar-SA" w:bidi="ar-SA"/>
        </w:rPr>
        <w:t>PE</w:t>
      </w:r>
      <w:r>
        <w:rPr>
          <w:rFonts w:eastAsia="Arial" w:cs="Arial" w:ascii="Arial" w:hAnsi="Arial"/>
          <w:b w:val="false"/>
          <w:bCs w:val="false"/>
          <w:color w:val="000000"/>
          <w:sz w:val="20"/>
          <w:szCs w:val="20"/>
          <w:lang w:val="pt-BR" w:eastAsia="ar-SA" w:bidi="ar-SA"/>
        </w:rPr>
        <w:t xml:space="preserve"> –  </w:t>
      </w:r>
      <w:r>
        <w:rPr>
          <w:rFonts w:cs="Arial" w:ascii="Arial" w:hAnsi="Arial"/>
          <w:b w:val="false"/>
          <w:bCs w:val="false"/>
          <w:color w:val="000000"/>
          <w:sz w:val="20"/>
          <w:szCs w:val="20"/>
          <w:lang w:val="pt-BR" w:eastAsia="ar-SA" w:bidi="ar-SA"/>
        </w:rPr>
        <w:t>telefone</w:t>
      </w:r>
      <w:r>
        <w:rPr>
          <w:rFonts w:eastAsia="Arial" w:cs="Arial" w:ascii="Arial" w:hAnsi="Arial"/>
          <w:b w:val="false"/>
          <w:bCs w:val="false"/>
          <w:color w:val="000000"/>
          <w:sz w:val="20"/>
          <w:szCs w:val="20"/>
          <w:lang w:val="pt-BR" w:eastAsia="ar-SA" w:bidi="ar-SA"/>
        </w:rPr>
        <w:t>: (81) 3423-4545;</w:t>
      </w:r>
    </w:p>
    <w:p>
      <w:pPr>
        <w:pStyle w:val="Normal"/>
        <w:widowControl/>
        <w:suppressAutoHyphens w:val="true"/>
        <w:bidi w:val="0"/>
        <w:spacing w:before="0" w:after="0"/>
        <w:ind w:left="85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COLEGIO MILITAR DO RECIFE – Almofarifado, localizado Avenida Visconde de São Leopoldo, 198 - Engenho do Meio - Recife / PE. CEP: 50.730-120, Telefone: (81) 2129-6380 / 2129-6353;</w:t>
      </w:r>
    </w:p>
    <w:p>
      <w:pPr>
        <w:pStyle w:val="Normal"/>
        <w:widowControl/>
        <w:suppressAutoHyphens w:val="true"/>
        <w:bidi w:val="0"/>
        <w:spacing w:before="0" w:after="0"/>
        <w:ind w:left="85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CENTRO DE PREPARAÇÃO DE OFICIAIS DA RESERVA DO RECIFE – Almoxarifado, localizado na Av. 17 de Agosto n° 1020, Bairro de Casa Forte -Recife – PE, telefone (81) 3441 7922;</w:t>
      </w:r>
    </w:p>
    <w:p>
      <w:pPr>
        <w:pStyle w:val="Normal"/>
        <w:widowControl/>
        <w:suppressAutoHyphens w:val="true"/>
        <w:bidi w:val="0"/>
        <w:spacing w:before="0" w:after="0"/>
        <w:ind w:left="85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14° BATALHÃO LOGÍSTICO – Almoxarifado, localizado na Rua São Miguel, 898, Afogados, Recife – Pernambuco, telefone (81) 3428-3704 / 3428-3706;</w:t>
      </w:r>
    </w:p>
    <w:p>
      <w:pPr>
        <w:pStyle w:val="Normal"/>
        <w:widowControl/>
        <w:suppressAutoHyphens w:val="true"/>
        <w:bidi w:val="0"/>
        <w:spacing w:before="0" w:after="0"/>
        <w:ind w:left="85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before="0" w:after="0"/>
        <w:ind w:left="1210"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71º BATALHÃO DE INFANTARIA MOTORIZADO – Localizado na Rodovia BR 423, Km 96, s/n - Heliópolis, Garanhuns - PE, 55296-630;</w:t>
      </w:r>
    </w:p>
    <w:p>
      <w:pPr>
        <w:pStyle w:val="Normal"/>
        <w:widowControl/>
        <w:suppressAutoHyphens w:val="true"/>
        <w:bidi w:val="0"/>
        <w:spacing w:before="0" w:after="0"/>
        <w:ind w:left="85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10º COMPANHIA DE ENGENHARIA DE COMBATE – Localizado na PE-180, 5 - São Bento do Una, PE, 55370-000, Telefone (81) 3726-6551;</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BASE ADMINISTRATIVA DO CURADO - Almoxarifado, localizado na Av. Visconde de São    Leopoldo, nº 198 – Engenho do Meio – Recife – PE – CEP 50.730-120, telefone: (81) 2129-6213 / 2129-6328;</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0" w:right="0" w:hanging="0"/>
        <w:jc w:val="left"/>
        <w:rPr>
          <w:rFonts w:ascii="Arial" w:hAnsi="Arial"/>
          <w:sz w:val="20"/>
          <w:szCs w:val="20"/>
        </w:rPr>
      </w:pPr>
      <w:r>
        <w:rPr>
          <w:rFonts w:eastAsia="Arial" w:cs="Arial" w:ascii="Arial" w:hAnsi="Arial"/>
          <w:b w:val="false"/>
          <w:bCs w:val="false"/>
          <w:color w:val="000000"/>
          <w:kern w:val="0"/>
          <w:sz w:val="20"/>
          <w:szCs w:val="20"/>
          <w:lang w:val="pt-BR" w:eastAsia="ar-SA" w:bidi="ar-SA"/>
        </w:rPr>
        <w:t>Organizações Militares Vinculadas a Base Administrativa do Curado – UASG 160225</w:t>
      </w:r>
      <w:r>
        <w:rPr>
          <w:rFonts w:eastAsia="Arial" w:cs="Arial" w:ascii="Arial" w:hAnsi="Arial"/>
          <w:b w:val="false"/>
          <w:bCs w:val="false"/>
          <w:color w:val="000000"/>
          <w:sz w:val="20"/>
          <w:szCs w:val="20"/>
          <w:lang w:val="pt-BR" w:eastAsia="ar-SA" w:bidi="ar-SA"/>
        </w:rPr>
        <w:t>:</w:t>
      </w:r>
    </w:p>
    <w:p>
      <w:pPr>
        <w:pStyle w:val="Normal"/>
        <w:widowControl/>
        <w:numPr>
          <w:ilvl w:val="0"/>
          <w:numId w:val="0"/>
        </w:numPr>
        <w:suppressAutoHyphens w:val="true"/>
        <w:bidi w:val="0"/>
        <w:spacing w:lineRule="auto" w:line="312" w:before="0" w:after="0"/>
        <w:ind w:left="0"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t xml:space="preserve">10º ESQUADRÃO DE CAVALARIA MECANIZADO –  </w:t>
      </w:r>
      <w:r>
        <w:rPr>
          <w:rFonts w:eastAsia="Arial" w:cs="Arial" w:ascii="Arial" w:hAnsi="Arial"/>
          <w:b w:val="false"/>
          <w:bCs w:val="false"/>
          <w:color w:val="000000"/>
          <w:sz w:val="20"/>
          <w:szCs w:val="20"/>
          <w:lang w:val="pt-BR" w:eastAsia="ar-SA" w:bidi="ar-SA"/>
        </w:rPr>
        <w:t>Almoxarifado, localizado na BR 232, Km 07, Curado, Recife-PE – CEP: 50.790-540, Telefone: (81) 2129-6518.</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COMANDO DA 10º BRIGADA DE INFANTARIA MOTORIZADA -  Almoxarifado, localizado na Av. Getúlio Vargas, BR 232, Km 06, Curado, Recife-PE – CEP: 50.790-540, Telefone: (81) 2129-6457/6459.</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4º BATALHÃO DE POLÍCIA DO EXÉRCITO -  Almoxarifado, localizado na BR 232, Km 06, Curado, Recife-PE – CEP: 50.950-000, Telefone: (81) 2129-6052.</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4º BATALHÃO DE COMUNICAÇÕES -  Almoxarifado, localizado na BR 101 Sul, Km 73, Tejipió, Recife-PE, CEP:50.780-300, Telefone: (81) 3455-2252/2280.</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7ª COMPANHIA DE COMUNICAÇÕES -  Almoxarifado, localizado na Av. Padre Ibiana, nº 300, Recife-PE – CEP: 50.920-370, Telefone: (81) 3251-0400.</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7º GRUPAMENTO DE ARTILHARIA E COMBATE -  Almoxarifado, localizado na Av. Dr. Joaquim Nabuco, nº 1957, Ouro Preto, Olinda-PE, Telefone: (81) 3202-5800.</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7º CENTRO DE GESTÃO, CONTABILIDADE E FINANÇAS DO EXÉRCITO -  Almoxarifado, localizado na Av. João de Barros, Boa Vista, Recife-PE, CEP: 50.100-020, Telefone: (81) 3423-7500.</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eastAsia="Arial" w:cs="Arial" w:ascii="Arial" w:hAnsi="Arial"/>
          <w:b w:val="false"/>
          <w:bCs w:val="false"/>
          <w:color w:val="000000"/>
          <w:sz w:val="20"/>
          <w:szCs w:val="20"/>
          <w:lang w:val="pt-BR" w:eastAsia="ar-SA" w:bidi="ar-SA"/>
        </w:rPr>
        <w:t>5º CENTRO DE TELEMÁTICA DE ÁREA,  Almoxarifado, localizado na BR 232, Km 06, Curado, Recife-PE, CEP: 50.950-000, Telefone: (81) 2129-6470.</w:t>
      </w:r>
    </w:p>
    <w:p>
      <w:pPr>
        <w:pStyle w:val="Normal"/>
        <w:widowControl/>
        <w:numPr>
          <w:ilvl w:val="0"/>
          <w:numId w:val="0"/>
        </w:numPr>
        <w:suppressAutoHyphens w:val="true"/>
        <w:bidi w:val="0"/>
        <w:spacing w:lineRule="auto" w:line="312" w:before="0" w:after="0"/>
        <w:ind w:left="1191" w:right="0" w:hanging="0"/>
        <w:jc w:val="left"/>
        <w:rPr>
          <w:rFonts w:ascii="Arial" w:hAnsi="Arial"/>
          <w:sz w:val="20"/>
          <w:szCs w:val="20"/>
        </w:rPr>
      </w:pPr>
      <w:r>
        <w:rPr>
          <w:rFonts w:ascii="Arial" w:hAnsi="Arial"/>
          <w:sz w:val="20"/>
          <w:szCs w:val="20"/>
        </w:rPr>
      </w:r>
    </w:p>
    <w:p>
      <w:pPr>
        <w:pStyle w:val="Normal"/>
        <w:widowControl/>
        <w:numPr>
          <w:ilvl w:val="0"/>
          <w:numId w:val="0"/>
        </w:numPr>
        <w:suppressAutoHyphens w:val="true"/>
        <w:bidi w:val="0"/>
        <w:spacing w:lineRule="auto" w:line="312" w:before="0" w:after="0"/>
        <w:ind w:left="1191" w:right="0" w:hanging="0"/>
        <w:jc w:val="left"/>
        <w:rPr/>
      </w:pPr>
      <w:r>
        <w:rPr>
          <w:rFonts w:eastAsia="Arial" w:cs="Arial" w:ascii="Arial" w:hAnsi="Arial"/>
          <w:b w:val="false"/>
          <w:bCs w:val="false"/>
          <w:color w:val="000000"/>
          <w:sz w:val="20"/>
          <w:szCs w:val="20"/>
          <w:lang w:val="pt-BR" w:eastAsia="ar-SA" w:bidi="ar-SA"/>
        </w:rPr>
        <w:t>14º BATALHÃO DE INFANTARIA MOTORIZADO -  Almoxarifado, localizado na Av. Gen. Manoel Rabelo, nº 1950, Socorro, Jaboatão dos Guararapes, CEP: 54.160-350.</w:t>
      </w:r>
    </w:p>
    <w:p>
      <w:pPr>
        <w:pStyle w:val="Normal"/>
        <w:ind w:left="360" w:hanging="0"/>
        <w:rPr>
          <w:rFonts w:ascii="Arial" w:hAnsi="Arial"/>
          <w:sz w:val="20"/>
          <w:szCs w:val="20"/>
        </w:rPr>
      </w:pPr>
      <w:r>
        <w:rPr>
          <w:rFonts w:ascii="Arial" w:hAnsi="Arial"/>
          <w:sz w:val="20"/>
          <w:szCs w:val="20"/>
        </w:rPr>
      </w:r>
    </w:p>
    <w:p>
      <w:pPr>
        <w:pStyle w:val="Normal"/>
        <w:widowControl/>
        <w:suppressAutoHyphens w:val="true"/>
        <w:bidi w:val="0"/>
        <w:spacing w:before="0" w:after="0"/>
        <w:ind w:left="1191" w:right="0" w:hanging="0"/>
        <w:jc w:val="left"/>
        <w:rPr>
          <w:rFonts w:ascii="Arial" w:hAnsi="Arial"/>
          <w:sz w:val="20"/>
          <w:szCs w:val="20"/>
        </w:rPr>
      </w:pPr>
      <w:r>
        <w:rPr>
          <w:rFonts w:ascii="Arial" w:hAnsi="Arial"/>
          <w:sz w:val="20"/>
          <w:szCs w:val="20"/>
        </w:rPr>
        <w:t>CAMPO DE INSTRUÇÃO MARECHAL NEWTON CAVALCANTI – Almoxarifado, localizado na Estrada de Aldeia, Km 33,5, Araçoiaba-PE, CEP: 53.690-000.</w:t>
      </w:r>
    </w:p>
    <w:p>
      <w:pPr>
        <w:pStyle w:val="Normal"/>
        <w:ind w:left="360" w:hanging="0"/>
        <w:rPr>
          <w:rFonts w:ascii="Arial" w:hAnsi="Arial"/>
          <w:sz w:val="20"/>
          <w:szCs w:val="20"/>
        </w:rPr>
      </w:pPr>
      <w:r>
        <w:rPr>
          <w:rFonts w:ascii="Arial" w:hAnsi="Arial"/>
          <w:sz w:val="20"/>
          <w:szCs w:val="20"/>
        </w:rPr>
      </w:r>
    </w:p>
    <w:p>
      <w:pPr>
        <w:pStyle w:val="Nvel2Red"/>
        <w:numPr>
          <w:ilvl w:val="1"/>
          <w:numId w:val="226"/>
        </w:numPr>
        <w:ind w:left="0" w:right="0" w:hanging="0"/>
        <w:rPr>
          <w:i w:val="false"/>
          <w:i w:val="false"/>
          <w:iCs w:val="false"/>
          <w:strike/>
        </w:rPr>
      </w:pPr>
      <w:r>
        <w:rPr>
          <w:i w:val="false"/>
          <w:iCs w:val="false"/>
          <w:strike/>
        </w:rPr>
        <w:t>No caso de produtos perecíveis, o prazo de validade na data da entrega não poderá ser inferior a ...... (......) (dias ou meses ou anos), ou a (metade, um terço, dois terços etc.) do prazo total recomendado pelo fabricante.</w:t>
      </w:r>
    </w:p>
    <w:p>
      <w:pPr>
        <w:pStyle w:val="Nvel1SemNumPreto"/>
        <w:rPr/>
      </w:pPr>
      <w:r>
        <w:rPr/>
        <w:t>Garantia, manutenção e assistência técnica</w:t>
      </w:r>
    </w:p>
    <w:p>
      <w:pPr>
        <w:pStyle w:val="Nvel2Red"/>
        <w:numPr>
          <w:ilvl w:val="1"/>
          <w:numId w:val="227"/>
        </w:numPr>
        <w:ind w:left="0" w:right="0" w:hanging="0"/>
        <w:rPr/>
      </w:pPr>
      <w:r>
        <w:rPr>
          <w:i w:val="false"/>
          <w:iCs w:val="false"/>
          <w:color w:val="000000"/>
        </w:rPr>
        <w:t>O prazo de garantia é aquele estabelecido na Lei nº 8.078, de 11 de setembro de 1990 (Código de Defesa do Consumidor).</w:t>
      </w:r>
    </w:p>
    <w:p>
      <w:pPr>
        <w:pStyle w:val="Nivel01"/>
        <w:numPr>
          <w:ilvl w:val="0"/>
          <w:numId w:val="4"/>
        </w:numPr>
        <w:ind w:left="0" w:hanging="0"/>
        <w:rPr/>
      </w:pPr>
      <w:r>
        <w:rPr/>
        <w:t>MODELO DE GESTÃO DO CONTRATO</w:t>
      </w:r>
    </w:p>
    <w:p>
      <w:pPr>
        <w:pStyle w:val="Nivel2"/>
        <w:numPr>
          <w:ilvl w:val="1"/>
          <w:numId w:val="228"/>
        </w:numPr>
        <w:ind w:left="0" w:right="0" w:hanging="0"/>
        <w:rPr/>
      </w:pPr>
      <w:r>
        <w:rPr/>
        <w:t>O contrato deverá ser executado fielmente pelas partes, de acordo com as cláusulas avençadas e as normas da Lei nº 14.133, de 2021, e cada parte responderá pelas consequências de sua inexecução total ou parcial.</w:t>
      </w:r>
    </w:p>
    <w:p>
      <w:pPr>
        <w:pStyle w:val="Nivel2"/>
        <w:numPr>
          <w:ilvl w:val="1"/>
          <w:numId w:val="229"/>
        </w:numPr>
        <w:ind w:left="0" w:right="0" w:hanging="0"/>
        <w:rPr/>
      </w:pPr>
      <w:r>
        <w:rPr/>
        <w:t>Em caso de impedimento, ordem de paralisação ou suspensão do contrato, o cronograma de execução será prorrogado automaticamente pelo tempo correspondente, anotadas tais circunstâncias mediante simples apostila.</w:t>
      </w:r>
    </w:p>
    <w:p>
      <w:pPr>
        <w:pStyle w:val="Nivel2"/>
        <w:numPr>
          <w:ilvl w:val="1"/>
          <w:numId w:val="230"/>
        </w:numPr>
        <w:ind w:left="0" w:right="0" w:hanging="0"/>
        <w:rPr/>
      </w:pPr>
      <w:r>
        <w:rPr/>
        <w:t>As comunicações entre o órgão ou entidade e a contratada devem ser realizadas por escrito sempre que o ato exigir tal formalidade, admitindo-se o uso de mensagem eletrônica para esse fim.</w:t>
      </w:r>
    </w:p>
    <w:p>
      <w:pPr>
        <w:pStyle w:val="Nivel2"/>
        <w:numPr>
          <w:ilvl w:val="1"/>
          <w:numId w:val="231"/>
        </w:numPr>
        <w:ind w:left="0" w:right="0" w:hanging="0"/>
        <w:rPr/>
      </w:pPr>
      <w:r>
        <w:rPr/>
        <w:t>O órgão ou entidade poderá convocar representante da empresa para adoção de providências que devam ser cumpridas de imediato.</w:t>
      </w:r>
    </w:p>
    <w:p>
      <w:pPr>
        <w:pStyle w:val="Nivel2"/>
        <w:numPr>
          <w:ilvl w:val="1"/>
          <w:numId w:val="232"/>
        </w:numPr>
        <w:ind w:left="0" w:right="0" w:hanging="0"/>
        <w:rPr/>
      </w:pPr>
      <w:r>
        <w:rPr/>
        <w:t xml:space="preserve"> </w:t>
      </w:r>
      <w:r>
        <w:rPr/>
        <w:t>Após a assinatura do contrato ou instrumento equivalente</w:t>
      </w:r>
      <w:r>
        <w:rPr>
          <w:strike/>
        </w:rPr>
        <w:t>,</w:t>
      </w:r>
      <w:r>
        <w:rPr/>
        <w:t xml:space="preserve"> o órgão ou entidade poderá convocar o representante da empresa contratada para reunião inicial para apresentação do plano de fiscalização, que conterá informações acerca das obrigações contratuais, dos mecanismos de fiscalização, das estratégias para execução do objeto, do plano complementar de execução da contratada, quando houver, do método de aferição dos resultados e das sanções aplicáveis, dentre outros.</w:t>
      </w:r>
    </w:p>
    <w:p>
      <w:pPr>
        <w:pStyle w:val="Nivel2"/>
        <w:numPr>
          <w:ilvl w:val="0"/>
          <w:numId w:val="0"/>
        </w:numPr>
        <w:ind w:left="0" w:right="0" w:hanging="0"/>
        <w:rPr/>
      </w:pPr>
      <w:r>
        <w:rPr/>
        <w:t>Fiscalização</w:t>
      </w:r>
    </w:p>
    <w:p>
      <w:pPr>
        <w:pStyle w:val="Nivel2"/>
        <w:numPr>
          <w:ilvl w:val="1"/>
          <w:numId w:val="233"/>
        </w:numPr>
        <w:ind w:left="0" w:right="0" w:hanging="0"/>
        <w:rPr/>
      </w:pPr>
      <w:r>
        <w:rPr/>
        <w:t>A execução do contrato deverá ser acompanhada e fiscalizada pelo(s) fiscal(is) do contrato, ou pelos respectivos substitutos (</w:t>
      </w:r>
      <w:r>
        <w:fldChar w:fldCharType="begin"/>
      </w:r>
      <w:r>
        <w:rPr>
          <w:rStyle w:val="LinkdaInternet"/>
        </w:rPr>
        <w:instrText> HYPERLINK "http://www.planalto.gov.br/ccivil_03/_ato2019-2022/2021/lei/L14133.htm" \l "art117"</w:instrText>
      </w:r>
      <w:r>
        <w:rPr>
          <w:rStyle w:val="LinkdaInternet"/>
        </w:rPr>
        <w:fldChar w:fldCharType="separate"/>
      </w:r>
      <w:r>
        <w:rPr>
          <w:rStyle w:val="LinkdaInternet"/>
        </w:rPr>
        <w:t>Lei nº 14.133, de 2021, art. 117, caput</w:t>
      </w:r>
      <w:r>
        <w:rPr>
          <w:rStyle w:val="LinkdaInternet"/>
        </w:rPr>
        <w:fldChar w:fldCharType="end"/>
      </w:r>
      <w:r>
        <w:rPr/>
        <w:t>).</w:t>
      </w:r>
    </w:p>
    <w:p>
      <w:pPr>
        <w:pStyle w:val="Nvel1SemNumPreto"/>
        <w:rPr/>
      </w:pPr>
      <w:r>
        <w:rPr/>
        <w:t>Fiscalização Técnica</w:t>
      </w:r>
    </w:p>
    <w:p>
      <w:pPr>
        <w:pStyle w:val="Nivel2"/>
        <w:numPr>
          <w:ilvl w:val="1"/>
          <w:numId w:val="234"/>
        </w:numPr>
        <w:ind w:left="0" w:right="0" w:hanging="0"/>
        <w:rPr/>
      </w:pPr>
      <w:r>
        <w:rPr/>
        <w:t>O fiscal técnico do contrato acompanhará a execução do contrato, para que sejam cumpridas todas as condições estabelecidas no contrato, de modo a assegurar os melhores resultados para a Administração. (Decreto nº 11.246, de 2022, art. 22, VI);</w:t>
      </w:r>
    </w:p>
    <w:p>
      <w:pPr>
        <w:pStyle w:val="Nivel3"/>
        <w:numPr>
          <w:ilvl w:val="2"/>
          <w:numId w:val="235"/>
        </w:numPr>
        <w:ind w:left="284" w:hanging="0"/>
        <w:rPr/>
      </w:pPr>
      <w:r>
        <w:rPr/>
        <w:t>O fiscal técnico do contrato anotará no histórico de gerenciamento do contrato todas as ocorrências relacionadas à execução do contrato, com a descrição do que for necessário para a regularização das faltas ou dos defeitos observados. (</w:t>
      </w:r>
      <w:r>
        <w:fldChar w:fldCharType="begin"/>
      </w:r>
      <w:r>
        <w:rPr>
          <w:rStyle w:val="LinkdaInternet"/>
        </w:rPr>
        <w:instrText> HYPERLINK "http://www.planalto.gov.br/ccivil_03/_ato2019-2022/2021/lei/L14133.htm" \l "art117§1"</w:instrText>
      </w:r>
      <w:r>
        <w:rPr>
          <w:rStyle w:val="LinkdaInternet"/>
        </w:rPr>
        <w:fldChar w:fldCharType="separate"/>
      </w:r>
      <w:r>
        <w:rPr>
          <w:rStyle w:val="LinkdaInternet"/>
        </w:rPr>
        <w:t>Lei nº 14.133, de 2021, art. 117, §1º</w:t>
      </w:r>
      <w:r>
        <w:rPr>
          <w:rStyle w:val="LinkdaInternet"/>
        </w:rPr>
        <w:fldChar w:fldCharType="end"/>
      </w:r>
      <w:r>
        <w:rPr/>
        <w:t xml:space="preserve">, e </w:t>
      </w:r>
      <w:r>
        <w:fldChar w:fldCharType="begin"/>
      </w:r>
      <w:r>
        <w:rPr>
          <w:rStyle w:val="LinkdaInternet"/>
        </w:rPr>
        <w:instrText> HYPERLINK "https://www.planalto.gov.br/ccivil_03/_ato2019-2022/2022/Decreto/D11246.htm" \l "art22"</w:instrText>
      </w:r>
      <w:r>
        <w:rPr>
          <w:rStyle w:val="LinkdaInternet"/>
        </w:rPr>
        <w:fldChar w:fldCharType="separate"/>
      </w:r>
      <w:r>
        <w:rPr>
          <w:rStyle w:val="LinkdaInternet"/>
        </w:rPr>
        <w:t>Decreto nº 11.246, de 2022, art. 22, II);</w:t>
      </w:r>
      <w:r>
        <w:rPr>
          <w:rStyle w:val="LinkdaInternet"/>
        </w:rPr>
        <w:fldChar w:fldCharType="end"/>
      </w:r>
    </w:p>
    <w:p>
      <w:pPr>
        <w:pStyle w:val="Nivel3"/>
        <w:numPr>
          <w:ilvl w:val="2"/>
          <w:numId w:val="236"/>
        </w:numPr>
        <w:ind w:left="284" w:hanging="0"/>
        <w:rPr/>
      </w:pPr>
      <w:r>
        <w:rPr/>
        <w:t>Identificada qualquer inexatidão ou irregularidade, o fiscal técnico do contrato emitirá notificações para a correção da execução do contrato, determinando prazo para a correção. (</w:t>
      </w:r>
      <w:r>
        <w:fldChar w:fldCharType="begin"/>
      </w:r>
      <w:r>
        <w:rPr>
          <w:rStyle w:val="LinkdaInternet"/>
        </w:rPr>
        <w:instrText> HYPERLINK "https://www.planalto.gov.br/ccivil_03/_ato2019-2022/2022/Decreto/D11246.htm" \l "art22"</w:instrText>
      </w:r>
      <w:r>
        <w:rPr>
          <w:rStyle w:val="LinkdaInternet"/>
        </w:rPr>
        <w:fldChar w:fldCharType="separate"/>
      </w:r>
      <w:r>
        <w:rPr>
          <w:rStyle w:val="LinkdaInternet"/>
        </w:rPr>
        <w:t>Decreto nº 11.246, de 2022, art. 22, III</w:t>
      </w:r>
      <w:r>
        <w:rPr>
          <w:rStyle w:val="LinkdaInternet"/>
        </w:rPr>
        <w:fldChar w:fldCharType="end"/>
      </w:r>
      <w:r>
        <w:rPr/>
        <w:t xml:space="preserve">); </w:t>
      </w:r>
    </w:p>
    <w:p>
      <w:pPr>
        <w:pStyle w:val="Nivel3"/>
        <w:numPr>
          <w:ilvl w:val="2"/>
          <w:numId w:val="237"/>
        </w:numPr>
        <w:ind w:left="284" w:hanging="0"/>
        <w:rPr/>
      </w:pPr>
      <w:r>
        <w:rPr/>
        <w:t>O fiscal técnico do contrato informará ao gestor do contato, em tempo hábil, a situação que demandar decisão ou adoção de medidas que ultrapassem sua competência, para que adote as medidas necessárias e saneadoras, se for o caso. (</w:t>
      </w:r>
      <w:r>
        <w:fldChar w:fldCharType="begin"/>
      </w:r>
      <w:r>
        <w:rPr>
          <w:rStyle w:val="LinkdaInternet"/>
        </w:rPr>
        <w:instrText> HYPERLINK "https://www.planalto.gov.br/ccivil_03/_ato2019-2022/2022/Decreto/D11246.htm" \l "art22"</w:instrText>
      </w:r>
      <w:r>
        <w:rPr>
          <w:rStyle w:val="LinkdaInternet"/>
        </w:rPr>
        <w:fldChar w:fldCharType="separate"/>
      </w:r>
      <w:r>
        <w:rPr>
          <w:rStyle w:val="LinkdaInternet"/>
        </w:rPr>
        <w:t>Decreto nº 11.246, de 2022, art. 22, IV</w:t>
      </w:r>
      <w:r>
        <w:rPr>
          <w:rStyle w:val="LinkdaInternet"/>
        </w:rPr>
        <w:fldChar w:fldCharType="end"/>
      </w:r>
      <w:r>
        <w:rPr/>
        <w:t>).</w:t>
      </w:r>
    </w:p>
    <w:p>
      <w:pPr>
        <w:pStyle w:val="Nivel3"/>
        <w:numPr>
          <w:ilvl w:val="2"/>
          <w:numId w:val="238"/>
        </w:numPr>
        <w:ind w:left="284" w:hanging="0"/>
        <w:rPr/>
      </w:pPr>
      <w:r>
        <w:rPr/>
        <w:t>No caso de ocorrências que possam inviabilizar a execução do contrato nas datas aprazadas, o fiscal técnico do contrato comunicará o fato imediatamente ao gestor do contrato. (</w:t>
      </w:r>
      <w:r>
        <w:fldChar w:fldCharType="begin"/>
      </w:r>
      <w:r>
        <w:rPr>
          <w:rStyle w:val="LinkdaInternet"/>
        </w:rPr>
        <w:instrText> HYPERLINK "https://www.planalto.gov.br/ccivil_03/_ato2019-2022/2022/Decreto/D11246.htm" \l "art22"</w:instrText>
      </w:r>
      <w:r>
        <w:rPr>
          <w:rStyle w:val="LinkdaInternet"/>
        </w:rPr>
        <w:fldChar w:fldCharType="separate"/>
      </w:r>
      <w:r>
        <w:rPr>
          <w:rStyle w:val="LinkdaInternet"/>
        </w:rPr>
        <w:t>Decreto nº 11.246, de 2022, art. 22, V</w:t>
      </w:r>
      <w:r>
        <w:rPr>
          <w:rStyle w:val="LinkdaInternet"/>
        </w:rPr>
        <w:fldChar w:fldCharType="end"/>
      </w:r>
      <w:r>
        <w:rPr/>
        <w:t>).</w:t>
      </w:r>
    </w:p>
    <w:p>
      <w:pPr>
        <w:pStyle w:val="Nivel3"/>
        <w:numPr>
          <w:ilvl w:val="2"/>
          <w:numId w:val="239"/>
        </w:numPr>
        <w:ind w:left="284" w:hanging="0"/>
        <w:rPr/>
      </w:pPr>
      <w:r>
        <w:rPr/>
        <w:t xml:space="preserve">O fiscal técnico do contrato comunicará ao gestor do contrato, em tempo hábil, o término do contrato sob sua responsabilidade, com vistas à renovação tempestiva ou à prorrogação contratual </w:t>
      </w:r>
      <w:r>
        <w:fldChar w:fldCharType="begin"/>
      </w:r>
      <w:r>
        <w:rPr>
          <w:rStyle w:val="LinkdaInternet"/>
        </w:rPr>
        <w:instrText> HYPERLINK "https://www.planalto.gov.br/ccivil_03/_ato2019-2022/2022/Decreto/D11246.htm" \l "art22"</w:instrText>
      </w:r>
      <w:r>
        <w:rPr>
          <w:rStyle w:val="LinkdaInternet"/>
        </w:rPr>
        <w:fldChar w:fldCharType="separate"/>
      </w:r>
      <w:r>
        <w:rPr>
          <w:rStyle w:val="LinkdaInternet"/>
        </w:rPr>
        <w:t>(Decreto nº 11.246, de 2022, art. 22, VII</w:t>
      </w:r>
      <w:r>
        <w:rPr>
          <w:rStyle w:val="LinkdaInternet"/>
        </w:rPr>
        <w:fldChar w:fldCharType="end"/>
      </w:r>
      <w:r>
        <w:rPr/>
        <w:t>).</w:t>
      </w:r>
    </w:p>
    <w:p>
      <w:pPr>
        <w:pStyle w:val="Nivel3"/>
        <w:numPr>
          <w:ilvl w:val="0"/>
          <w:numId w:val="0"/>
        </w:numPr>
        <w:ind w:left="0" w:hanging="0"/>
        <w:rPr/>
      </w:pPr>
      <w:r>
        <w:rPr/>
        <w:t>Fiscalização Administrativa</w:t>
      </w:r>
    </w:p>
    <w:p>
      <w:pPr>
        <w:pStyle w:val="Nivel2"/>
        <w:numPr>
          <w:ilvl w:val="1"/>
          <w:numId w:val="240"/>
        </w:numPr>
        <w:ind w:left="0" w:right="0" w:hanging="0"/>
        <w:rPr/>
      </w:pPr>
      <w:r>
        <w:rPr/>
        <w:t>O fiscal administrativo do contrato verificará a manutenção das condições de habilitação da contratada, acompanhará o empenho, o pagamento, as garantias, as glosas e a formalização de apostilamento e termos aditivos, solicitando quaisquer documentos comprobatórios pertinentes, caso necessário (</w:t>
      </w:r>
      <w:r>
        <w:fldChar w:fldCharType="begin"/>
      </w:r>
      <w:r>
        <w:rPr>
          <w:rStyle w:val="LinkdaInternet"/>
        </w:rPr>
        <w:instrText> HYPERLINK "https://www.planalto.gov.br/ccivil_03/_ato2019-2022/2022/Decreto/D11246.htm" \l "art23"</w:instrText>
      </w:r>
      <w:r>
        <w:rPr>
          <w:rStyle w:val="LinkdaInternet"/>
        </w:rPr>
        <w:fldChar w:fldCharType="separate"/>
      </w:r>
      <w:r>
        <w:rPr>
          <w:rStyle w:val="LinkdaInternet"/>
        </w:rPr>
        <w:t>Art. 23, I e II, do Decreto nº 11.246, de 2022</w:t>
      </w:r>
      <w:r>
        <w:rPr>
          <w:rStyle w:val="LinkdaInternet"/>
        </w:rPr>
        <w:fldChar w:fldCharType="end"/>
      </w:r>
      <w:r>
        <w:rPr/>
        <w:t>).</w:t>
      </w:r>
    </w:p>
    <w:p>
      <w:pPr>
        <w:pStyle w:val="Nivel3"/>
        <w:numPr>
          <w:ilvl w:val="2"/>
          <w:numId w:val="241"/>
        </w:numPr>
        <w:ind w:left="284" w:hanging="0"/>
        <w:rPr/>
      </w:pPr>
      <w:r>
        <w:rPr/>
        <w:t>Caso ocorra descumprimento das obrigações contratuais, o fiscal administrativo do contrato atuará tempestivamente na solução do problema, reportando ao gestor do contrato para que tome as providências cabíveis, quando ultrapassar a sua competência; (</w:t>
      </w:r>
      <w:r>
        <w:fldChar w:fldCharType="begin"/>
      </w:r>
      <w:r>
        <w:rPr>
          <w:rStyle w:val="LinkdaInternet"/>
        </w:rPr>
        <w:instrText> HYPERLINK "https://www.planalto.gov.br/ccivil_03/_ato2019-2022/2022/Decreto/D11246.htm" \l "art23"</w:instrText>
      </w:r>
      <w:r>
        <w:rPr>
          <w:rStyle w:val="LinkdaInternet"/>
        </w:rPr>
        <w:fldChar w:fldCharType="separate"/>
      </w:r>
      <w:r>
        <w:rPr>
          <w:rStyle w:val="LinkdaInternet"/>
        </w:rPr>
        <w:t>Decreto nº 11.246, de 2022, art. 23, IV</w:t>
      </w:r>
      <w:r>
        <w:rPr>
          <w:rStyle w:val="LinkdaInternet"/>
        </w:rPr>
        <w:fldChar w:fldCharType="end"/>
      </w:r>
      <w:r>
        <w:rPr/>
        <w:t>).</w:t>
      </w:r>
    </w:p>
    <w:p>
      <w:pPr>
        <w:pStyle w:val="Nvel1SemNumPreto"/>
        <w:rPr>
          <w:i/>
          <w:i/>
          <w:iCs/>
        </w:rPr>
      </w:pPr>
      <w:r>
        <w:rPr/>
        <w:t>Gestor do Contrato</w:t>
      </w:r>
    </w:p>
    <w:p>
      <w:pPr>
        <w:pStyle w:val="Nivel2"/>
        <w:numPr>
          <w:ilvl w:val="1"/>
          <w:numId w:val="242"/>
        </w:numPr>
        <w:ind w:left="0" w:right="0" w:hanging="0"/>
        <w:rPr/>
      </w:pPr>
      <w:r>
        <w:rPr/>
        <w:t>O gestor do contrato coordenará a atualização do processo de acompanhamento e fiscalização do contrato contendo todos os registros formais da execução no histórico de gerenciamento do contrato, a exemplo da ordem de serviço, do registro de ocorrências, das alterações e das prorrogações contratuais, elaborando relatório com vistas à verificação da necessidade de adequações do contrato para fins de atendimento da finalidade da administração. (Decreto nº 11.246, de 2022, art. 21, IV).</w:t>
      </w:r>
    </w:p>
    <w:p>
      <w:pPr>
        <w:pStyle w:val="Nivel2"/>
        <w:numPr>
          <w:ilvl w:val="1"/>
          <w:numId w:val="243"/>
        </w:numPr>
        <w:ind w:left="0" w:right="0" w:hanging="0"/>
        <w:rPr/>
      </w:pPr>
      <w:r>
        <w:rPr/>
        <w:t xml:space="preserve">O gestor do contrato acompanhará os registros realizados pelos fiscais do contrato, de todas as ocorrências relacionadas à execução do contrato e as medidas adotadas, informando, se for o caso, à autoridade superior àquelas que ultrapassarem a sua competência. (Decreto nº 11.246, de 2022, art. 21, II). </w:t>
      </w:r>
    </w:p>
    <w:p>
      <w:pPr>
        <w:pStyle w:val="Nivel2"/>
        <w:numPr>
          <w:ilvl w:val="1"/>
          <w:numId w:val="244"/>
        </w:numPr>
        <w:ind w:left="0" w:right="0" w:hanging="0"/>
        <w:rPr/>
      </w:pPr>
      <w:r>
        <w:rPr/>
        <w:t xml:space="preserve">O gestor do contrato acompanhará a manutenção das condições de habilitação da contratada, para fins de empenho de despesa e pagamento, e anotará os problemas que obstem o fluxo normal da liquidação e do pagamento da despesa no relatório de riscos eventuais. (Decreto nº 11.246, de 2022, art. 21, III). </w:t>
      </w:r>
    </w:p>
    <w:p>
      <w:pPr>
        <w:pStyle w:val="Nivel2"/>
        <w:numPr>
          <w:ilvl w:val="1"/>
          <w:numId w:val="245"/>
        </w:numPr>
        <w:ind w:left="0" w:right="0" w:hanging="0"/>
        <w:rPr/>
      </w:pPr>
      <w:r>
        <w:rPr/>
        <w:t xml:space="preserve">O gestor do contrato emitirá documento comprobatório da avaliação realizada pelos fiscais técnico, administrativo e setorial quanto ao cumprimento de obrigações assumidas pelo contratado, com menção ao seu desempenho na execução contratual, baseado nos indicadores objetivamente definidos e aferidos, e a eventuais penalidades aplicadas, devendo constar do cadastro de atesto de cumprimento de obrigações. (Decreto nº 11.246, de 2022, art. 21, VIII). </w:t>
      </w:r>
    </w:p>
    <w:p>
      <w:pPr>
        <w:pStyle w:val="Nivel2"/>
        <w:numPr>
          <w:ilvl w:val="1"/>
          <w:numId w:val="246"/>
        </w:numPr>
        <w:ind w:left="0" w:right="0" w:hanging="0"/>
        <w:rPr/>
      </w:pPr>
      <w:r>
        <w:rPr/>
        <w:t xml:space="preserve">O gestor do contrato tomará providências para a formalização de processo administrativo de responsabilização para fins de aplicação de sanções, a ser conduzido pela comissão de que trata o art. 158 da Lei nº 14.133, de 2021, ou pelo agente ou pelo setor com competência para tal, conforme o caso. (Decreto nº 11.246, de 2022, art. 21, X). </w:t>
      </w:r>
    </w:p>
    <w:p>
      <w:pPr>
        <w:pStyle w:val="Nivel2"/>
        <w:numPr>
          <w:ilvl w:val="1"/>
          <w:numId w:val="247"/>
        </w:numPr>
        <w:ind w:left="0" w:right="0" w:hanging="0"/>
        <w:rPr/>
      </w:pPr>
      <w:r>
        <w:rPr/>
        <w:t xml:space="preserve">O gestor do contrato deverá elaborar relatório final com informações sobre a consecução dos objetivos que tenham justificado a contratação e eventuais condutas a serem adotadas para o aprimoramento das atividades da Administração. (Decreto nº 11.246, de 2022, art. 21, VI). </w:t>
      </w:r>
    </w:p>
    <w:p>
      <w:pPr>
        <w:pStyle w:val="Nivel2"/>
        <w:numPr>
          <w:ilvl w:val="1"/>
          <w:numId w:val="248"/>
        </w:numPr>
        <w:ind w:left="0" w:right="0" w:hanging="0"/>
        <w:rPr/>
      </w:pPr>
      <w:r>
        <w:rPr/>
        <w:t>O gestor do contrato deverá enviar a documentação pertinente ao setor de contratos para a formalização dos procedimentos de liquidação e pagamento, no valor dimensionado pela fiscalização e gestão nos termos do contrato.</w:t>
      </w:r>
    </w:p>
    <w:p>
      <w:pPr>
        <w:pStyle w:val="Nivel01"/>
        <w:numPr>
          <w:ilvl w:val="0"/>
          <w:numId w:val="4"/>
        </w:numPr>
        <w:ind w:left="0" w:hanging="0"/>
        <w:rPr/>
      </w:pPr>
      <w:r>
        <w:rPr/>
        <w:t>CRITÉRIOS DE MEDIÇÃO E DE PAGAMENTO</w:t>
      </w:r>
    </w:p>
    <w:p>
      <w:pPr>
        <w:pStyle w:val="Nvel1SemNumPreto"/>
        <w:rPr/>
      </w:pPr>
      <w:r>
        <w:rPr/>
        <w:t>Recebimento</w:t>
      </w:r>
    </w:p>
    <w:p>
      <w:pPr>
        <w:pStyle w:val="Nivel2"/>
        <w:numPr>
          <w:ilvl w:val="1"/>
          <w:numId w:val="249"/>
        </w:numPr>
        <w:ind w:left="0" w:right="0" w:hanging="0"/>
        <w:rPr>
          <w:lang w:eastAsia="en-US"/>
        </w:rPr>
      </w:pPr>
      <w:r>
        <w:rPr>
          <w:lang w:eastAsia="en-US"/>
        </w:rPr>
        <w:t xml:space="preserve">Os bens serão recebidos provisoriamente, de forma sumária, no ato da entrega, juntamente com a </w:t>
      </w:r>
      <w:r>
        <w:rPr>
          <w:rFonts w:eastAsia="Calibri"/>
          <w:lang w:eastAsia="en-US"/>
        </w:rPr>
        <w:t>nota</w:t>
      </w:r>
      <w:r>
        <w:rPr>
          <w:lang w:eastAsia="en-US"/>
        </w:rPr>
        <w:t xml:space="preserve"> fiscal ou instrumento de cobrança equivalente, pelo(a) responsável pelo acompanhamento e fiscalização do contrato, para efeito de posterior verificação de sua conformidade com as especificações constantes no Termo de Referência</w:t>
      </w:r>
      <w:r>
        <w:rPr>
          <w:color w:val="FF0000"/>
          <w:lang w:eastAsia="en-US"/>
        </w:rPr>
        <w:t xml:space="preserve"> </w:t>
      </w:r>
      <w:r>
        <w:rPr>
          <w:lang w:eastAsia="en-US"/>
        </w:rPr>
        <w:t>e na proposta.</w:t>
      </w:r>
    </w:p>
    <w:p>
      <w:pPr>
        <w:pStyle w:val="Nivel2"/>
        <w:numPr>
          <w:ilvl w:val="1"/>
          <w:numId w:val="250"/>
        </w:numPr>
        <w:ind w:left="0" w:right="0" w:hanging="0"/>
        <w:rPr>
          <w:lang w:eastAsia="en-US"/>
        </w:rPr>
      </w:pPr>
      <w:r>
        <w:rPr>
          <w:lang w:eastAsia="en-US"/>
        </w:rPr>
        <w:t>Os bens poderão ser rejeitados, no todo ou em parte, inclusive antes do recebimento provisório, quando em desacordo com as especificações constantes no Termo de Referência</w:t>
      </w:r>
      <w:r>
        <w:rPr>
          <w:color w:val="FF0000"/>
          <w:lang w:eastAsia="en-US"/>
        </w:rPr>
        <w:t xml:space="preserve"> </w:t>
      </w:r>
      <w:r>
        <w:rPr>
          <w:lang w:eastAsia="en-US"/>
        </w:rPr>
        <w:t xml:space="preserve">e na proposta, devendo ser substituídos no prazo de </w:t>
      </w:r>
      <w:r>
        <w:rPr>
          <w:b/>
          <w:bCs/>
          <w:lang w:eastAsia="en-US"/>
        </w:rPr>
        <w:t>15 (quinze)</w:t>
      </w:r>
      <w:r>
        <w:rPr>
          <w:b/>
          <w:bCs/>
          <w:color w:val="FF0000"/>
          <w:lang w:eastAsia="en-US"/>
        </w:rPr>
        <w:t xml:space="preserve"> </w:t>
      </w:r>
      <w:r>
        <w:rPr>
          <w:b/>
          <w:bCs/>
          <w:lang w:eastAsia="en-US"/>
        </w:rPr>
        <w:t>dias,</w:t>
      </w:r>
      <w:r>
        <w:rPr>
          <w:lang w:eastAsia="en-US"/>
        </w:rPr>
        <w:t xml:space="preserve"> a contar da notificação da contratada, às suas custas, sem prejuízo da aplicação das penalidades.</w:t>
      </w:r>
    </w:p>
    <w:p>
      <w:pPr>
        <w:pStyle w:val="Nivel2"/>
        <w:numPr>
          <w:ilvl w:val="1"/>
          <w:numId w:val="251"/>
        </w:numPr>
        <w:ind w:left="0" w:right="0" w:hanging="0"/>
        <w:rPr>
          <w:lang w:eastAsia="en-US"/>
        </w:rPr>
      </w:pPr>
      <w:r>
        <w:rPr>
          <w:lang w:eastAsia="en-US"/>
        </w:rPr>
        <w:t xml:space="preserve">O recebimento definitivo ocorrerá no prazo de </w:t>
      </w:r>
      <w:r>
        <w:rPr>
          <w:b/>
          <w:bCs/>
          <w:color w:val="000000"/>
          <w:lang w:eastAsia="en-US"/>
        </w:rPr>
        <w:t>30 (trinta) dias úteis,</w:t>
      </w:r>
      <w:r>
        <w:rPr>
          <w:color w:val="FF0000"/>
          <w:lang w:eastAsia="en-US"/>
        </w:rPr>
        <w:t xml:space="preserve"> </w:t>
      </w:r>
      <w:r>
        <w:rPr>
          <w:lang w:eastAsia="en-US"/>
        </w:rPr>
        <w:t>a contar do recebimento da nota fiscal ou instrumento de cobrança equivalente pela Administração, após a verificação da qualidade e quantidade do material e consequente aceitação mediante termo detalhado.</w:t>
      </w:r>
    </w:p>
    <w:p>
      <w:pPr>
        <w:pStyle w:val="Nivel2"/>
        <w:numPr>
          <w:ilvl w:val="1"/>
          <w:numId w:val="252"/>
        </w:numPr>
        <w:ind w:left="0" w:right="0" w:hanging="0"/>
        <w:rPr>
          <w:lang w:eastAsia="en-US"/>
        </w:rPr>
      </w:pPr>
      <w:r>
        <w:rPr>
          <w:lang w:eastAsia="en-US"/>
        </w:rPr>
        <w:t xml:space="preserve">Para as contratações decorrentes de despesas cujos valores não ultrapassem o limite de que trata o </w:t>
      </w:r>
      <w:r>
        <w:fldChar w:fldCharType="begin"/>
      </w:r>
      <w:r>
        <w:rPr>
          <w:rStyle w:val="LinkdaInternet"/>
          <w:lang w:eastAsia="en-US"/>
        </w:rPr>
        <w:instrText> HYPERLINK "http://www.planalto.gov.br/ccivil_03/_ato2019-2022/2021/lei/L14133.htm" \l "art75"</w:instrText>
      </w:r>
      <w:r>
        <w:rPr>
          <w:rStyle w:val="LinkdaInternet"/>
          <w:lang w:eastAsia="en-US"/>
        </w:rPr>
        <w:fldChar w:fldCharType="separate"/>
      </w:r>
      <w:r>
        <w:rPr>
          <w:rStyle w:val="LinkdaInternet"/>
          <w:lang w:eastAsia="en-US"/>
        </w:rPr>
        <w:t>inciso II do art. 75 da Lei nº 14.133, de 2021</w:t>
      </w:r>
      <w:r>
        <w:rPr>
          <w:rStyle w:val="LinkdaInternet"/>
          <w:lang w:eastAsia="en-US"/>
        </w:rPr>
        <w:fldChar w:fldCharType="end"/>
      </w:r>
      <w:r>
        <w:rPr>
          <w:lang w:eastAsia="en-US"/>
        </w:rPr>
        <w:t xml:space="preserve">, o prazo máximo para o recebimento definitivo será de até </w:t>
      </w:r>
      <w:r>
        <w:rPr>
          <w:b/>
          <w:bCs/>
          <w:lang w:eastAsia="en-US"/>
        </w:rPr>
        <w:t>30 (trinta)</w:t>
      </w:r>
      <w:r>
        <w:rPr>
          <w:b/>
          <w:bCs/>
          <w:color w:val="FF0000"/>
          <w:lang w:eastAsia="en-US"/>
        </w:rPr>
        <w:t xml:space="preserve"> </w:t>
      </w:r>
      <w:r>
        <w:rPr>
          <w:b/>
          <w:bCs/>
          <w:lang w:eastAsia="en-US"/>
        </w:rPr>
        <w:t>dias úteis.</w:t>
      </w:r>
    </w:p>
    <w:p>
      <w:pPr>
        <w:pStyle w:val="Nivel2"/>
        <w:numPr>
          <w:ilvl w:val="1"/>
          <w:numId w:val="253"/>
        </w:numPr>
        <w:ind w:left="0" w:right="0" w:hanging="0"/>
        <w:rPr>
          <w:lang w:eastAsia="en-US"/>
        </w:rPr>
      </w:pPr>
      <w:r>
        <w:rPr>
          <w:lang w:eastAsia="en-US"/>
        </w:rPr>
        <w:t xml:space="preserve">O prazo para recebimento definitivo poderá ser excepcionalmente prorrogado, </w:t>
      </w:r>
      <w:r>
        <w:rPr>
          <w:color w:val="auto"/>
          <w:lang w:eastAsia="en-US"/>
        </w:rPr>
        <w:t>de forma justificada, por igual período, quando houver necessidade de diligências para a aferição do ate</w:t>
      </w:r>
      <w:r>
        <w:rPr>
          <w:lang w:eastAsia="en-US"/>
        </w:rPr>
        <w:t>ndimento das exigências contratuais.</w:t>
      </w:r>
    </w:p>
    <w:p>
      <w:pPr>
        <w:pStyle w:val="Nivel2"/>
        <w:numPr>
          <w:ilvl w:val="1"/>
          <w:numId w:val="254"/>
        </w:numPr>
        <w:ind w:left="0" w:right="0" w:hanging="0"/>
        <w:rPr>
          <w:lang w:eastAsia="en-US"/>
        </w:rPr>
      </w:pPr>
      <w:r>
        <w:rPr>
          <w:lang w:eastAsia="en-US"/>
        </w:rPr>
        <w:t xml:space="preserve">No caso de controvérsia sobre a execução do objeto, quanto à dimensão, qualidade e quantidade, deverá ser observado o teor do </w:t>
      </w:r>
      <w:r>
        <w:fldChar w:fldCharType="begin"/>
      </w:r>
      <w:r>
        <w:rPr>
          <w:rStyle w:val="LinkdaInternet"/>
          <w:lang w:eastAsia="en-US"/>
        </w:rPr>
        <w:instrText> HYPERLINK "http://www.planalto.gov.br/ccivil_03/_ato2019-2022/2021/lei/L14133.htm" \l "art143"</w:instrText>
      </w:r>
      <w:r>
        <w:rPr>
          <w:rStyle w:val="LinkdaInternet"/>
          <w:lang w:eastAsia="en-US"/>
        </w:rPr>
        <w:fldChar w:fldCharType="separate"/>
      </w:r>
      <w:r>
        <w:rPr>
          <w:rStyle w:val="LinkdaInternet"/>
          <w:lang w:eastAsia="en-US"/>
        </w:rPr>
        <w:t>art. 143 da Lei nº 14.133, de 2021</w:t>
      </w:r>
      <w:r>
        <w:rPr>
          <w:rStyle w:val="LinkdaInternet"/>
          <w:lang w:eastAsia="en-US"/>
        </w:rPr>
        <w:fldChar w:fldCharType="end"/>
      </w:r>
      <w:r>
        <w:rPr>
          <w:lang w:eastAsia="en-US"/>
        </w:rPr>
        <w:t>, comunicando-se à empresa para emissão de Nota Fiscal no que pertine à parcela incontroversa da execução do objeto, para efeito de liquidação e pagamento.</w:t>
      </w:r>
    </w:p>
    <w:p>
      <w:pPr>
        <w:pStyle w:val="Nivel2"/>
        <w:numPr>
          <w:ilvl w:val="1"/>
          <w:numId w:val="255"/>
        </w:numPr>
        <w:ind w:left="0" w:right="0" w:hanging="0"/>
        <w:rPr>
          <w:lang w:eastAsia="en-US"/>
        </w:rPr>
      </w:pPr>
      <w:r>
        <w:rPr>
          <w:lang w:eastAsia="en-US"/>
        </w:rPr>
        <w:t>O prazo para a solução, pelo contratado, de inconsistências na execução do objeto ou de saneamento da nota fiscal ou de instrumento de cobrança equivalente, verificadas pela Administração durante a análise prévia à liquidação de despesa, não será computado para os fins do recebimento definitivo.</w:t>
      </w:r>
    </w:p>
    <w:p>
      <w:pPr>
        <w:pStyle w:val="Nivel2"/>
        <w:numPr>
          <w:ilvl w:val="1"/>
          <w:numId w:val="256"/>
        </w:numPr>
        <w:ind w:left="0" w:right="0" w:hanging="0"/>
        <w:rPr>
          <w:lang w:eastAsia="en-US"/>
        </w:rPr>
      </w:pPr>
      <w:r>
        <w:rPr>
          <w:lang w:eastAsia="en-US"/>
        </w:rPr>
        <w:t>O recebimento provisório ou definitivo não excluirá a responsabilidade civil pela solidez e pela segurança dos bens nem a responsabilidade ético-profissional pela perfeita execução do contrato.</w:t>
      </w:r>
    </w:p>
    <w:p>
      <w:pPr>
        <w:pStyle w:val="Nvel1SemNumPreto"/>
        <w:rPr/>
      </w:pPr>
      <w:r>
        <w:rPr/>
        <w:t>Liquidação</w:t>
      </w:r>
    </w:p>
    <w:p>
      <w:pPr>
        <w:pStyle w:val="Nivel2"/>
        <w:numPr>
          <w:ilvl w:val="1"/>
          <w:numId w:val="257"/>
        </w:numPr>
        <w:ind w:left="0" w:right="0" w:hanging="0"/>
        <w:rPr>
          <w:lang w:eastAsia="en-US"/>
        </w:rPr>
      </w:pPr>
      <w:r>
        <w:rPr>
          <w:lang w:eastAsia="en-US"/>
        </w:rPr>
        <w:t>Recebida a Nota Fiscal ou documento de cobrança equivalente, correrá o prazo de dez dias úteis para fins de liquidação, na forma desta seção, prorrogáveis por igual período, nos termos do art. 7º, §3</w:t>
      </w:r>
      <w:r>
        <w:rPr>
          <w:rStyle w:val="LinkdaInternet"/>
          <w:lang w:eastAsia="en-US"/>
        </w:rPr>
        <w:t>º da Instrução Normativa SEGES/ME nº 77/2022</w:t>
      </w:r>
      <w:r>
        <w:rPr>
          <w:lang w:eastAsia="en-US"/>
        </w:rPr>
        <w:t>.</w:t>
      </w:r>
    </w:p>
    <w:p>
      <w:pPr>
        <w:pStyle w:val="Nivel3"/>
        <w:numPr>
          <w:ilvl w:val="2"/>
          <w:numId w:val="258"/>
        </w:numPr>
        <w:ind w:left="284" w:hanging="0"/>
        <w:rPr/>
      </w:pPr>
      <w:r>
        <w:rPr/>
        <w:t xml:space="preserve">O prazo de que trata o item anterior será reduzido à metade, mantendo-se a possibilidade de prorrogação, no caso de contratações decorrentes de despesas cujos valores não ultrapassem o limite de que trata o </w:t>
      </w:r>
      <w:r>
        <w:fldChar w:fldCharType="begin"/>
      </w:r>
      <w:r>
        <w:rPr>
          <w:rStyle w:val="LinkdaInternet"/>
        </w:rPr>
        <w:instrText> HYPERLINK "http://www.planalto.gov.br/ccivil_03/_ato2019-2022/2021/lei/L14133.htm" \l "art75"</w:instrText>
      </w:r>
      <w:r>
        <w:rPr>
          <w:rStyle w:val="LinkdaInternet"/>
        </w:rPr>
        <w:fldChar w:fldCharType="separate"/>
      </w:r>
      <w:r>
        <w:rPr>
          <w:rStyle w:val="LinkdaInternet"/>
        </w:rPr>
        <w:t>inciso II do art. 75 da Lei nº 14.133, de 2021</w:t>
      </w:r>
      <w:r>
        <w:rPr>
          <w:rStyle w:val="LinkdaInternet"/>
        </w:rPr>
        <w:fldChar w:fldCharType="end"/>
      </w:r>
      <w:r>
        <w:rPr/>
        <w:t>.</w:t>
      </w:r>
    </w:p>
    <w:p>
      <w:pPr>
        <w:pStyle w:val="Nivel2"/>
        <w:numPr>
          <w:ilvl w:val="1"/>
          <w:numId w:val="259"/>
        </w:numPr>
        <w:ind w:left="0" w:right="0" w:hanging="0"/>
        <w:rPr>
          <w:lang w:eastAsia="en-US"/>
        </w:rPr>
      </w:pPr>
      <w:r>
        <w:rPr>
          <w:lang w:eastAsia="en-US"/>
        </w:rPr>
        <w:t xml:space="preserve">Para fins de liquidação, o setor competente deverá verificar se a nota fiscal ou instrumento de cobrança equivalente apresentado expressa os elementos necessários e essenciais do documento, tais como: </w:t>
      </w:r>
    </w:p>
    <w:p>
      <w:pPr>
        <w:pStyle w:val="Nivel3"/>
        <w:numPr>
          <w:ilvl w:val="2"/>
          <w:numId w:val="260"/>
        </w:numPr>
        <w:ind w:left="284" w:hanging="0"/>
        <w:rPr>
          <w:lang w:eastAsia="en-US"/>
        </w:rPr>
      </w:pPr>
      <w:r>
        <w:rPr>
          <w:lang w:eastAsia="en-US"/>
        </w:rPr>
        <w:t>o prazo de validade;</w:t>
      </w:r>
    </w:p>
    <w:p>
      <w:pPr>
        <w:pStyle w:val="Nivel3"/>
        <w:numPr>
          <w:ilvl w:val="2"/>
          <w:numId w:val="261"/>
        </w:numPr>
        <w:ind w:left="284" w:hanging="0"/>
        <w:rPr>
          <w:lang w:eastAsia="en-US"/>
        </w:rPr>
      </w:pPr>
      <w:r>
        <w:rPr>
          <w:lang w:eastAsia="en-US"/>
        </w:rPr>
        <w:t xml:space="preserve">a data da emissão; </w:t>
      </w:r>
    </w:p>
    <w:p>
      <w:pPr>
        <w:pStyle w:val="Nivel3"/>
        <w:numPr>
          <w:ilvl w:val="2"/>
          <w:numId w:val="262"/>
        </w:numPr>
        <w:ind w:left="284" w:hanging="0"/>
        <w:rPr>
          <w:lang w:eastAsia="en-US"/>
        </w:rPr>
      </w:pPr>
      <w:r>
        <w:rPr>
          <w:lang w:eastAsia="en-US"/>
        </w:rPr>
        <w:t xml:space="preserve">os dados do contrato e do órgão contratante; </w:t>
      </w:r>
    </w:p>
    <w:p>
      <w:pPr>
        <w:pStyle w:val="Nivel3"/>
        <w:numPr>
          <w:ilvl w:val="2"/>
          <w:numId w:val="263"/>
        </w:numPr>
        <w:ind w:left="284" w:hanging="0"/>
        <w:rPr>
          <w:lang w:eastAsia="en-US"/>
        </w:rPr>
      </w:pPr>
      <w:r>
        <w:rPr>
          <w:lang w:eastAsia="en-US"/>
        </w:rPr>
        <w:t xml:space="preserve">o período respectivo de execução do contrato; </w:t>
      </w:r>
    </w:p>
    <w:p>
      <w:pPr>
        <w:pStyle w:val="Nivel3"/>
        <w:numPr>
          <w:ilvl w:val="2"/>
          <w:numId w:val="264"/>
        </w:numPr>
        <w:ind w:left="284" w:hanging="0"/>
        <w:rPr>
          <w:lang w:eastAsia="en-US"/>
        </w:rPr>
      </w:pPr>
      <w:r>
        <w:rPr>
          <w:lang w:eastAsia="en-US"/>
        </w:rPr>
        <w:t xml:space="preserve">o valor a pagar; e </w:t>
      </w:r>
    </w:p>
    <w:p>
      <w:pPr>
        <w:pStyle w:val="Nivel3"/>
        <w:numPr>
          <w:ilvl w:val="2"/>
          <w:numId w:val="265"/>
        </w:numPr>
        <w:ind w:left="284" w:hanging="0"/>
        <w:rPr>
          <w:lang w:eastAsia="en-US"/>
        </w:rPr>
      </w:pPr>
      <w:r>
        <w:rPr>
          <w:lang w:eastAsia="en-US"/>
        </w:rPr>
        <w:t>eventual destaque do valor de retenções tributárias cabíveis.</w:t>
      </w:r>
    </w:p>
    <w:p>
      <w:pPr>
        <w:pStyle w:val="Nivel2"/>
        <w:numPr>
          <w:ilvl w:val="1"/>
          <w:numId w:val="266"/>
        </w:numPr>
        <w:ind w:left="0" w:right="0" w:hanging="0"/>
        <w:rPr>
          <w:lang w:eastAsia="en-US"/>
        </w:rPr>
      </w:pPr>
      <w:r>
        <w:rPr>
          <w:rFonts w:eastAsia="Calibri"/>
          <w:lang w:eastAsia="en-US"/>
        </w:rPr>
        <w:t xml:space="preserve"> </w:t>
      </w:r>
      <w:r>
        <w:rPr>
          <w:rFonts w:eastAsia="Calibri"/>
          <w:lang w:eastAsia="en-US"/>
        </w:rPr>
        <w:t xml:space="preserve">Havendo erro na apresentação da nota fiscal ou instrumento de cobrança equivalente, ou circunstância que impeça a </w:t>
      </w:r>
      <w:r>
        <w:rPr>
          <w:lang w:eastAsia="en-US"/>
        </w:rPr>
        <w:t>liquidação da despesa, esta ficará sobrestada até que o contratado providencie as medidas saneadoras, reiniciando-se o prazo após a comprovação da regularização da situação, sem ônus ao contratante;</w:t>
      </w:r>
    </w:p>
    <w:p>
      <w:pPr>
        <w:pStyle w:val="Nivel2"/>
        <w:numPr>
          <w:ilvl w:val="1"/>
          <w:numId w:val="267"/>
        </w:numPr>
        <w:ind w:left="0" w:right="0" w:hanging="0"/>
        <w:rPr>
          <w:lang w:eastAsia="en-US"/>
        </w:rPr>
      </w:pPr>
      <w:r>
        <w:rPr>
          <w:lang w:eastAsia="en-US"/>
        </w:rPr>
        <w:t xml:space="preserve"> </w:t>
      </w:r>
      <w:r>
        <w:rPr>
          <w:lang w:eastAsia="en-US"/>
        </w:rPr>
        <w:t xml:space="preserve">A nota fiscal ou instrumento de cobrança equivalente deverá ser obrigatoriamente acompanhado da comprovação da regularidade fiscal, constatada por meio de consulta </w:t>
      </w:r>
      <w:r>
        <w:rPr>
          <w:i/>
          <w:iCs/>
          <w:lang w:eastAsia="en-US"/>
        </w:rPr>
        <w:t>on-line</w:t>
      </w:r>
      <w:r>
        <w:rPr>
          <w:lang w:eastAsia="en-US"/>
        </w:rPr>
        <w:t xml:space="preserve"> ao SICAF ou, na impossibilidade de acesso ao referido Sistema, mediante consulta aos sítios eletrônicos oficiais ou à documentação mencionada no </w:t>
      </w:r>
      <w:r>
        <w:fldChar w:fldCharType="begin"/>
      </w:r>
      <w:r>
        <w:rPr>
          <w:rStyle w:val="LinkdaInternet"/>
          <w:lang w:eastAsia="en-US"/>
        </w:rPr>
        <w:instrText> HYPERLINK "http://www.planalto.gov.br/ccivil_03/_ato2019-2022/2021/lei/L14133.htm" \l "art68"</w:instrText>
      </w:r>
      <w:r>
        <w:rPr>
          <w:rStyle w:val="LinkdaInternet"/>
          <w:lang w:eastAsia="en-US"/>
        </w:rPr>
        <w:fldChar w:fldCharType="separate"/>
      </w:r>
      <w:r>
        <w:rPr>
          <w:rStyle w:val="LinkdaInternet"/>
          <w:lang w:eastAsia="en-US"/>
        </w:rPr>
        <w:t xml:space="preserve">art. 68 da Lei nº 14.133, de 2021.  </w:t>
      </w:r>
      <w:r>
        <w:rPr>
          <w:rStyle w:val="LinkdaInternet"/>
          <w:lang w:eastAsia="en-US"/>
        </w:rPr>
        <w:fldChar w:fldCharType="end"/>
      </w:r>
      <w:r>
        <w:rPr>
          <w:lang w:eastAsia="en-US"/>
        </w:rPr>
        <w:t xml:space="preserve"> </w:t>
      </w:r>
    </w:p>
    <w:p>
      <w:pPr>
        <w:pStyle w:val="Nivel2"/>
        <w:numPr>
          <w:ilvl w:val="1"/>
          <w:numId w:val="268"/>
        </w:numPr>
        <w:ind w:left="0" w:right="0" w:hanging="0"/>
        <w:rPr/>
      </w:pPr>
      <w:r>
        <w:rPr/>
        <w:t>A Administração deverá realizar consulta ao SICAF para: a) verificar a manutenção das condições de habilitação exigidas no edital; b) identificar possível razão que impeça a participação em licitação, no âmbito do órgão ou entidade, proibição de contratar com o Poder Público, bem como ocorrências impeditivas indiretas (INSTRUÇÃO NORMATIVA Nº 3, DE 26 DE ABRIL DE 2018).</w:t>
      </w:r>
    </w:p>
    <w:p>
      <w:pPr>
        <w:pStyle w:val="Nivel2"/>
        <w:numPr>
          <w:ilvl w:val="1"/>
          <w:numId w:val="269"/>
        </w:numPr>
        <w:ind w:left="0" w:right="0" w:hanging="0"/>
        <w:rPr>
          <w:lang w:eastAsia="en-US"/>
        </w:rPr>
      </w:pPr>
      <w:r>
        <w:rPr>
          <w:lang w:eastAsia="en-US"/>
        </w:rPr>
        <w:t>Constatando-se, junto ao SICAF, a situação de irregularidade do contratado, será providenciada sua notificação, por escrito, para que, no prazo de 5 (cinco) dias úteis, regularize sua situação ou, no mesmo prazo, apresente sua defesa. O prazo poderá ser prorrogado uma vez, por igual período, a critério do contratante.</w:t>
      </w:r>
    </w:p>
    <w:p>
      <w:pPr>
        <w:pStyle w:val="Nivel2"/>
        <w:numPr>
          <w:ilvl w:val="1"/>
          <w:numId w:val="270"/>
        </w:numPr>
        <w:ind w:left="0" w:right="0" w:hanging="0"/>
        <w:rPr>
          <w:lang w:eastAsia="en-US"/>
        </w:rPr>
      </w:pPr>
      <w:r>
        <w:rPr>
          <w:lang w:eastAsia="en-US"/>
        </w:rPr>
        <w:t xml:space="preserve">Não havendo regularização ou sendo a defesa considerada improcedente, o contratante deverá comunicar aos órgãos responsáveis pela fiscalização da regularidade fiscal quanto à inadimplência do contratado, bem como quanto à existência de pagamento a ser efetuado, para que sejam acionados os meios pertinentes e necessários para garantir o recebimento de seus créditos.  </w:t>
      </w:r>
    </w:p>
    <w:p>
      <w:pPr>
        <w:pStyle w:val="Nivel2"/>
        <w:numPr>
          <w:ilvl w:val="1"/>
          <w:numId w:val="271"/>
        </w:numPr>
        <w:ind w:left="0" w:right="0" w:hanging="0"/>
        <w:rPr>
          <w:lang w:eastAsia="en-US"/>
        </w:rPr>
      </w:pPr>
      <w:r>
        <w:rPr>
          <w:lang w:eastAsia="en-US"/>
        </w:rPr>
        <w:t xml:space="preserve">Persistindo a irregularidade, o contratante deverá adotar as medidas necessárias à rescisão contratual nos autos do processo administrativo correspondente, assegurada ao contratado a ampla defesa. </w:t>
      </w:r>
    </w:p>
    <w:p>
      <w:pPr>
        <w:pStyle w:val="Nivel2"/>
        <w:numPr>
          <w:ilvl w:val="1"/>
          <w:numId w:val="272"/>
        </w:numPr>
        <w:ind w:left="0" w:right="0" w:hanging="0"/>
        <w:rPr>
          <w:lang w:eastAsia="en-US"/>
        </w:rPr>
      </w:pPr>
      <w:r>
        <w:rPr>
          <w:lang w:eastAsia="en-US"/>
        </w:rPr>
        <w:t xml:space="preserve">Havendo a efetiva execução do objeto, os pagamentos serão realizados normalmente, até que se decida pela rescisão do contrato, caso o contratado não regularize sua situação junto ao SICAF.  </w:t>
      </w:r>
    </w:p>
    <w:p>
      <w:pPr>
        <w:pStyle w:val="Nvel1SemNumPreto"/>
        <w:rPr/>
      </w:pPr>
      <w:r>
        <w:rPr/>
        <w:t>Prazo de pagamento</w:t>
      </w:r>
    </w:p>
    <w:p>
      <w:pPr>
        <w:pStyle w:val="Nivel2"/>
        <w:numPr>
          <w:ilvl w:val="1"/>
          <w:numId w:val="273"/>
        </w:numPr>
        <w:ind w:left="0" w:right="0" w:hanging="0"/>
        <w:rPr/>
      </w:pPr>
      <w:r>
        <w:rPr/>
        <w:t xml:space="preserve">O pagamento será efetuado no prazo de até 10 (dez) dias úteis contados da finalização da liquidação da despesa, conforme seção anterior, nos termos da </w:t>
      </w:r>
      <w:hyperlink r:id="rId3">
        <w:r>
          <w:rPr>
            <w:rStyle w:val="LinkdaInternet"/>
          </w:rPr>
          <w:t>Instrução Normativa SEGES/ME nº 77, de 2022</w:t>
        </w:r>
      </w:hyperlink>
      <w:r>
        <w:rPr/>
        <w:t>.</w:t>
      </w:r>
    </w:p>
    <w:p>
      <w:pPr>
        <w:pStyle w:val="Nivel2"/>
        <w:numPr>
          <w:ilvl w:val="1"/>
          <w:numId w:val="274"/>
        </w:numPr>
        <w:ind w:left="0" w:right="0" w:hanging="0"/>
        <w:rPr>
          <w:lang w:eastAsia="en-US"/>
        </w:rPr>
      </w:pPr>
      <w:r>
        <w:rPr>
          <w:lang w:eastAsia="en-US"/>
        </w:rPr>
        <w:t xml:space="preserve">No caso de atraso pelo Contratante, os valores devidos ao contratado serão atualizados monetariamente entre o termo final do prazo de pagamento até a data de sua efetiva realização, mediante aplicação do índice </w:t>
      </w:r>
      <w:r>
        <w:rPr>
          <w:rFonts w:eastAsia="Arial" w:cs="Arial"/>
          <w:b/>
          <w:bCs/>
          <w:i w:val="false"/>
          <w:iCs w:val="false"/>
          <w:color w:val="000000"/>
          <w:kern w:val="0"/>
          <w:sz w:val="20"/>
          <w:szCs w:val="20"/>
          <w:lang w:val="pt-BR" w:eastAsia="en-US" w:bidi="ar-SA"/>
        </w:rPr>
        <w:t>IPCA</w:t>
      </w:r>
      <w:r>
        <w:rPr>
          <w:lang w:eastAsia="en-US"/>
        </w:rPr>
        <w:t xml:space="preserve"> de correção monetária.</w:t>
      </w:r>
    </w:p>
    <w:p>
      <w:pPr>
        <w:pStyle w:val="Nvel1SemNumPreto"/>
        <w:rPr/>
      </w:pPr>
      <w:r>
        <w:rPr/>
        <w:t>Forma de pagamento</w:t>
      </w:r>
    </w:p>
    <w:p>
      <w:pPr>
        <w:pStyle w:val="Nivel2"/>
        <w:numPr>
          <w:ilvl w:val="1"/>
          <w:numId w:val="275"/>
        </w:numPr>
        <w:ind w:left="0" w:right="0" w:hanging="0"/>
        <w:rPr>
          <w:lang w:eastAsia="en-US"/>
        </w:rPr>
      </w:pPr>
      <w:r>
        <w:rPr>
          <w:lang w:eastAsia="en-US"/>
        </w:rPr>
        <w:t>O pagamento será realizado por meio de ordem bancária, para crédito em banco, agência e conta corrente indicados pelo contratado.</w:t>
      </w:r>
    </w:p>
    <w:p>
      <w:pPr>
        <w:pStyle w:val="Nivel2"/>
        <w:numPr>
          <w:ilvl w:val="1"/>
          <w:numId w:val="276"/>
        </w:numPr>
        <w:ind w:left="0" w:right="0" w:hanging="0"/>
        <w:rPr>
          <w:lang w:eastAsia="en-US"/>
        </w:rPr>
      </w:pPr>
      <w:r>
        <w:rPr>
          <w:lang w:eastAsia="en-US"/>
        </w:rPr>
        <w:t>Será considerada data do pagamento o dia em que constar como emitida a ordem bancária para pagamento.</w:t>
      </w:r>
    </w:p>
    <w:p>
      <w:pPr>
        <w:pStyle w:val="Nivel2"/>
        <w:numPr>
          <w:ilvl w:val="1"/>
          <w:numId w:val="277"/>
        </w:numPr>
        <w:ind w:left="0" w:right="0" w:hanging="0"/>
        <w:rPr>
          <w:lang w:eastAsia="en-US"/>
        </w:rPr>
      </w:pPr>
      <w:r>
        <w:rPr>
          <w:lang w:eastAsia="en-US"/>
        </w:rPr>
        <w:t>Quando do pagamento, será efetuada a retenção tributária prevista na legislação aplicável.</w:t>
      </w:r>
    </w:p>
    <w:p>
      <w:pPr>
        <w:pStyle w:val="Nivel3"/>
        <w:numPr>
          <w:ilvl w:val="2"/>
          <w:numId w:val="278"/>
        </w:numPr>
        <w:ind w:left="284" w:hanging="0"/>
        <w:rPr>
          <w:lang w:eastAsia="en-US"/>
        </w:rPr>
      </w:pPr>
      <w:r>
        <w:rPr>
          <w:lang w:eastAsia="en-US"/>
        </w:rPr>
        <w:t>Independentemente do percentual de tributo inserido na planilha, quando houver, serão retidos na fonte, quando da realização do pagamento, os percentuais estabelecidos na legislação vigente.</w:t>
      </w:r>
    </w:p>
    <w:p>
      <w:pPr>
        <w:pStyle w:val="Nivel2"/>
        <w:numPr>
          <w:ilvl w:val="1"/>
          <w:numId w:val="279"/>
        </w:numPr>
        <w:ind w:left="0" w:right="0" w:hanging="0"/>
        <w:rPr>
          <w:lang w:eastAsia="en-US"/>
        </w:rPr>
      </w:pPr>
      <w:r>
        <w:rPr>
          <w:lang w:eastAsia="en-US"/>
        </w:rPr>
        <w:t xml:space="preserve">O contratado regularmente optante pelo Simples Nacional, nos termos da </w:t>
      </w:r>
      <w:hyperlink r:id="rId4">
        <w:r>
          <w:rPr>
            <w:rStyle w:val="LinkdaInternet"/>
            <w:lang w:eastAsia="en-US"/>
          </w:rPr>
          <w:t>Lei Complementar nº 123, de 2006</w:t>
        </w:r>
      </w:hyperlink>
      <w:r>
        <w:rPr>
          <w:lang w:eastAsia="en-US"/>
        </w:rPr>
        <w:t>,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pPr>
        <w:pStyle w:val="Nvel1SemNum"/>
        <w:rPr>
          <w:lang w:eastAsia="en-US"/>
        </w:rPr>
      </w:pPr>
      <w:r>
        <w:rPr>
          <w:lang w:eastAsia="en-US"/>
        </w:rPr>
        <w:t>Antecipação de pagamento</w:t>
      </w:r>
    </w:p>
    <w:p>
      <w:pPr>
        <w:pStyle w:val="Nvel2Red"/>
        <w:numPr>
          <w:ilvl w:val="1"/>
          <w:numId w:val="280"/>
        </w:numPr>
        <w:spacing w:lineRule="auto" w:line="312" w:before="0" w:after="3"/>
        <w:ind w:left="0" w:right="0" w:firstLine="709"/>
        <w:rPr>
          <w:i w:val="false"/>
          <w:i w:val="false"/>
          <w:iCs w:val="false"/>
          <w:strike w:val="false"/>
          <w:dstrike w:val="false"/>
        </w:rPr>
      </w:pPr>
      <w:r>
        <w:rPr>
          <w:i w:val="false"/>
          <w:iCs w:val="false"/>
          <w:strike w:val="false"/>
          <w:dstrike w:val="false"/>
          <w:color w:val="000000"/>
          <w:lang w:eastAsia="en-US"/>
        </w:rPr>
        <w:t xml:space="preserve">A presente contratação não permite a antecipação de pagamento. </w:t>
      </w:r>
    </w:p>
    <w:p>
      <w:pPr>
        <w:pStyle w:val="Nvel2Red"/>
        <w:numPr>
          <w:ilvl w:val="1"/>
          <w:numId w:val="281"/>
        </w:numPr>
        <w:ind w:left="0" w:right="0" w:hanging="0"/>
        <w:rPr>
          <w:i w:val="false"/>
          <w:i w:val="false"/>
          <w:iCs w:val="false"/>
          <w:strike/>
        </w:rPr>
      </w:pPr>
      <w:r>
        <w:rPr>
          <w:i w:val="false"/>
          <w:iCs w:val="false"/>
          <w:strike/>
          <w:lang w:eastAsia="en-US"/>
        </w:rPr>
        <w:t>A presente contratação permite a antecipação de pagamento ......... (parcial/total), conforme as regras previstas no presente tópico.</w:t>
      </w:r>
      <w:r>
        <w:rPr>
          <w:i w:val="false"/>
          <w:iCs w:val="false"/>
          <w:strike/>
        </w:rPr>
        <w:tab/>
      </w:r>
    </w:p>
    <w:p>
      <w:pPr>
        <w:pStyle w:val="Nvel2Red"/>
        <w:numPr>
          <w:ilvl w:val="1"/>
          <w:numId w:val="282"/>
        </w:numPr>
        <w:ind w:left="0" w:right="0" w:hanging="0"/>
        <w:rPr>
          <w:i w:val="false"/>
          <w:i w:val="false"/>
          <w:iCs w:val="false"/>
          <w:strike/>
        </w:rPr>
      </w:pPr>
      <w:r>
        <w:rPr>
          <w:i w:val="false"/>
          <w:iCs w:val="false"/>
          <w:strike/>
          <w:lang w:eastAsia="en-US"/>
        </w:rPr>
        <w:t>O contratado emitirá recibo/nota fiscal/fatura/documento idôneo/... correspondente ao valor da antecipação de pagamento de R$ ...... (valor por extenso), tão logo ... (incluir condicionante – ex: seja assinado o termo de contrato, ou seja, prestada a garantia etc.), para que o contratante efetue o pagamento antecipado.</w:t>
      </w:r>
    </w:p>
    <w:p>
      <w:pPr>
        <w:pStyle w:val="Nvel2Red"/>
        <w:numPr>
          <w:ilvl w:val="1"/>
          <w:numId w:val="283"/>
        </w:numPr>
        <w:ind w:left="0" w:right="0" w:hanging="0"/>
        <w:rPr>
          <w:i w:val="false"/>
          <w:i w:val="false"/>
          <w:iCs w:val="false"/>
          <w:strike/>
        </w:rPr>
      </w:pPr>
      <w:r>
        <w:rPr>
          <w:i w:val="false"/>
          <w:iCs w:val="false"/>
          <w:strike/>
          <w:lang w:eastAsia="en-US"/>
        </w:rPr>
        <w:t>Para as etapas seguintes do contrato, a antecipação do pagamento ocorrerá da seguinte forma:</w:t>
      </w:r>
    </w:p>
    <w:p>
      <w:pPr>
        <w:pStyle w:val="Nvel3R"/>
        <w:numPr>
          <w:ilvl w:val="2"/>
          <w:numId w:val="284"/>
        </w:numPr>
        <w:ind w:left="284" w:hanging="0"/>
        <w:rPr>
          <w:i w:val="false"/>
          <w:i w:val="false"/>
          <w:iCs w:val="false"/>
          <w:strike/>
        </w:rPr>
      </w:pPr>
      <w:r>
        <w:rPr>
          <w:i w:val="false"/>
          <w:iCs w:val="false"/>
          <w:strike/>
          <w:lang w:eastAsia="en-US"/>
        </w:rPr>
        <w:t>R$..... (valor em extenso) quando do início da segunda etapa.</w:t>
      </w:r>
    </w:p>
    <w:p>
      <w:pPr>
        <w:pStyle w:val="Nvel3R"/>
        <w:numPr>
          <w:ilvl w:val="2"/>
          <w:numId w:val="285"/>
        </w:numPr>
        <w:ind w:left="284" w:hanging="0"/>
        <w:rPr>
          <w:i w:val="false"/>
          <w:i w:val="false"/>
          <w:iCs w:val="false"/>
          <w:strike/>
        </w:rPr>
      </w:pPr>
      <w:r>
        <w:rPr>
          <w:i w:val="false"/>
          <w:iCs w:val="false"/>
          <w:strike/>
          <w:lang w:eastAsia="en-US"/>
        </w:rPr>
        <w:t>(...)</w:t>
      </w:r>
    </w:p>
    <w:p>
      <w:pPr>
        <w:pStyle w:val="Nvel2Red"/>
        <w:numPr>
          <w:ilvl w:val="1"/>
          <w:numId w:val="286"/>
        </w:numPr>
        <w:ind w:left="0" w:right="0" w:hanging="0"/>
        <w:rPr>
          <w:i w:val="false"/>
          <w:i w:val="false"/>
          <w:iCs w:val="false"/>
          <w:strike/>
        </w:rPr>
      </w:pPr>
      <w:r>
        <w:rPr>
          <w:i w:val="false"/>
          <w:iCs w:val="false"/>
          <w:strike/>
          <w:lang w:eastAsia="en-US"/>
        </w:rPr>
        <w:t>Fica o contratado obrigado a devolver, com correção monetária, a integralidade do valor antecipado na hipótese de inexecução do objeto.</w:t>
      </w:r>
    </w:p>
    <w:p>
      <w:pPr>
        <w:pStyle w:val="Nvel3R"/>
        <w:numPr>
          <w:ilvl w:val="2"/>
          <w:numId w:val="287"/>
        </w:numPr>
        <w:ind w:left="284" w:hanging="0"/>
        <w:rPr>
          <w:i w:val="false"/>
          <w:i w:val="false"/>
          <w:iCs w:val="false"/>
          <w:strike/>
        </w:rPr>
      </w:pPr>
      <w:r>
        <w:rPr>
          <w:i w:val="false"/>
          <w:iCs w:val="false"/>
          <w:strike/>
          <w:lang w:eastAsia="en-US"/>
        </w:rPr>
        <w:t>No caso de inexecução parcial, deverá haver a devolução do valor relativo à parcela não-executada do contrato.</w:t>
      </w:r>
    </w:p>
    <w:p>
      <w:pPr>
        <w:pStyle w:val="Nvel3R"/>
        <w:numPr>
          <w:ilvl w:val="2"/>
          <w:numId w:val="288"/>
        </w:numPr>
        <w:ind w:left="284" w:hanging="0"/>
        <w:rPr>
          <w:i w:val="false"/>
          <w:i w:val="false"/>
          <w:iCs w:val="false"/>
          <w:strike/>
        </w:rPr>
      </w:pPr>
      <w:r>
        <w:rPr>
          <w:i w:val="false"/>
          <w:iCs w:val="false"/>
          <w:strike/>
          <w:lang w:eastAsia="en-US"/>
        </w:rPr>
        <w:t xml:space="preserve"> </w:t>
      </w:r>
      <w:r>
        <w:rPr>
          <w:i w:val="false"/>
          <w:iCs w:val="false"/>
          <w:strike/>
          <w:lang w:eastAsia="en-US"/>
        </w:rPr>
        <w:t>O valor relativo à parcela antecipada e não executada do contrato será atualizado monetariamente pela variação acumulada do   ........ (especificar o índice de correção monetária a ser adotado), ou outro índice que venha a substituí-lo, desde a data do pagamento da antecipação até a data da devolução.</w:t>
      </w:r>
    </w:p>
    <w:p>
      <w:pPr>
        <w:pStyle w:val="Nvel2Red"/>
        <w:numPr>
          <w:ilvl w:val="1"/>
          <w:numId w:val="289"/>
        </w:numPr>
        <w:ind w:left="0" w:right="0" w:hanging="0"/>
        <w:rPr>
          <w:i w:val="false"/>
          <w:i w:val="false"/>
          <w:iCs w:val="false"/>
          <w:strike/>
        </w:rPr>
      </w:pPr>
      <w:r>
        <w:rPr>
          <w:i w:val="false"/>
          <w:iCs w:val="false"/>
          <w:strike/>
          <w:lang w:eastAsia="en-US"/>
        </w:rPr>
        <w:t>A liquidação ocorrerá de acordo com as regras do tópico respectivo deste instrumento.</w:t>
      </w:r>
    </w:p>
    <w:p>
      <w:pPr>
        <w:pStyle w:val="Nvel2Red"/>
        <w:numPr>
          <w:ilvl w:val="1"/>
          <w:numId w:val="290"/>
        </w:numPr>
        <w:ind w:left="0" w:right="0" w:hanging="0"/>
        <w:rPr>
          <w:i w:val="false"/>
          <w:i w:val="false"/>
          <w:iCs w:val="false"/>
          <w:strike/>
        </w:rPr>
      </w:pPr>
      <w:r>
        <w:rPr>
          <w:i w:val="false"/>
          <w:iCs w:val="false"/>
          <w:strike/>
          <w:lang w:eastAsia="en-US"/>
        </w:rPr>
        <w:t>O pagamento antecipado será efetuado no prazo máximo de até ..... (....) dias, contados do recebimento do ...... (recibo OU nota fiscal OU fatura OU documento idôneo).</w:t>
      </w:r>
    </w:p>
    <w:p>
      <w:pPr>
        <w:pStyle w:val="Nvel2Red"/>
        <w:numPr>
          <w:ilvl w:val="1"/>
          <w:numId w:val="291"/>
        </w:numPr>
        <w:ind w:left="0" w:right="0" w:hanging="0"/>
        <w:rPr>
          <w:i w:val="false"/>
          <w:i w:val="false"/>
          <w:iCs w:val="false"/>
          <w:strike/>
        </w:rPr>
      </w:pPr>
      <w:r>
        <w:rPr>
          <w:i w:val="false"/>
          <w:iCs w:val="false"/>
          <w:strike/>
          <w:lang w:eastAsia="en-US"/>
        </w:rPr>
        <w:t>A antecipação de pagamento dispensa o ateste ou recebimento prévios do objeto, os quais deverão ocorrer após a regular execução da parcela contratual a que se refere o valor antecipado.</w:t>
      </w:r>
    </w:p>
    <w:p>
      <w:pPr>
        <w:pStyle w:val="Nvel2Red"/>
        <w:numPr>
          <w:ilvl w:val="1"/>
          <w:numId w:val="292"/>
        </w:numPr>
        <w:ind w:left="0" w:right="0" w:hanging="0"/>
        <w:rPr>
          <w:i w:val="false"/>
          <w:i w:val="false"/>
          <w:iCs w:val="false"/>
          <w:strike/>
        </w:rPr>
      </w:pPr>
      <w:r>
        <w:rPr>
          <w:i w:val="false"/>
          <w:iCs w:val="false"/>
          <w:strike/>
          <w:lang w:eastAsia="en-US"/>
        </w:rPr>
        <w:t>O pagamento de que trata este item está condicionado à tomada das seguintes providências pelo contratado:</w:t>
      </w:r>
    </w:p>
    <w:p>
      <w:pPr>
        <w:pStyle w:val="Nvel3R"/>
        <w:numPr>
          <w:ilvl w:val="2"/>
          <w:numId w:val="293"/>
        </w:numPr>
        <w:ind w:left="284" w:hanging="0"/>
        <w:rPr>
          <w:i w:val="false"/>
          <w:i w:val="false"/>
          <w:iCs w:val="false"/>
          <w:strike/>
        </w:rPr>
      </w:pPr>
      <w:r>
        <w:rPr>
          <w:i w:val="false"/>
          <w:iCs w:val="false"/>
          <w:strike/>
          <w:lang w:eastAsia="en-US"/>
        </w:rPr>
        <w:t>comprovação da execução da etapa imediatamente anterior do objeto pelo contratado, para a antecipação do valor remanescente;</w:t>
      </w:r>
    </w:p>
    <w:p>
      <w:pPr>
        <w:pStyle w:val="Nvel3R"/>
        <w:numPr>
          <w:ilvl w:val="2"/>
          <w:numId w:val="294"/>
        </w:numPr>
        <w:ind w:left="284" w:hanging="0"/>
        <w:rPr>
          <w:i w:val="false"/>
          <w:i w:val="false"/>
          <w:iCs w:val="false"/>
          <w:strike/>
        </w:rPr>
      </w:pPr>
      <w:r>
        <w:rPr>
          <w:i w:val="false"/>
          <w:iCs w:val="false"/>
          <w:strike/>
          <w:lang w:eastAsia="en-US"/>
        </w:rPr>
        <w:t>prestação da garantia adicional nas modalidades de que trata o art. 96 da Lei nº 14.133, de 2021, no percentual de ...%.</w:t>
      </w:r>
    </w:p>
    <w:p>
      <w:pPr>
        <w:pStyle w:val="Nvel2Red"/>
        <w:numPr>
          <w:ilvl w:val="1"/>
          <w:numId w:val="295"/>
        </w:numPr>
        <w:ind w:left="0" w:right="0" w:hanging="0"/>
        <w:rPr>
          <w:i w:val="false"/>
          <w:i w:val="false"/>
          <w:iCs w:val="false"/>
          <w:strike/>
        </w:rPr>
      </w:pPr>
      <w:r>
        <w:rPr>
          <w:i w:val="false"/>
          <w:iCs w:val="false"/>
          <w:strike/>
          <w:lang w:eastAsia="en-US"/>
        </w:rPr>
        <w:t>O pagamento do valor a ser antecipado ocorrerá respeitando eventuais retenções tributárias incidentes.</w:t>
      </w:r>
    </w:p>
    <w:p>
      <w:pPr>
        <w:pStyle w:val="Nvel1SemNumPreto"/>
        <w:rPr>
          <w:strike/>
        </w:rPr>
      </w:pPr>
      <w:r>
        <w:rPr/>
        <w:t>Cessão de crédito</w:t>
      </w:r>
    </w:p>
    <w:p>
      <w:pPr>
        <w:pStyle w:val="Nivel2"/>
        <w:widowControl/>
        <w:numPr>
          <w:ilvl w:val="1"/>
          <w:numId w:val="296"/>
        </w:numPr>
        <w:suppressAutoHyphens w:val="true"/>
        <w:bidi w:val="0"/>
        <w:spacing w:lineRule="auto" w:line="312" w:before="6" w:after="174"/>
        <w:ind w:left="0" w:right="0" w:firstLine="709"/>
        <w:jc w:val="both"/>
        <w:rPr>
          <w:rFonts w:ascii="Arial" w:hAnsi="Arial" w:eastAsia="Arial" w:cs="Arial"/>
          <w:color w:val="000000"/>
          <w:kern w:val="0"/>
          <w:sz w:val="20"/>
          <w:szCs w:val="20"/>
          <w:lang w:val="pt-BR" w:eastAsia="en-US" w:bidi="ar-SA"/>
        </w:rPr>
      </w:pPr>
      <w:r>
        <w:rPr>
          <w:rFonts w:eastAsia="Arial" w:cs="Arial"/>
          <w:color w:val="000000"/>
          <w:kern w:val="0"/>
          <w:sz w:val="20"/>
          <w:szCs w:val="20"/>
          <w:lang w:val="pt-BR" w:eastAsia="en-US" w:bidi="ar-SA"/>
        </w:rPr>
        <w:t>Não é admitida a cessão fiduciária de direitos creditícios com instituição financeira.</w:t>
      </w:r>
    </w:p>
    <w:p>
      <w:pPr>
        <w:pStyle w:val="Nivel2"/>
        <w:numPr>
          <w:ilvl w:val="1"/>
          <w:numId w:val="297"/>
        </w:numPr>
        <w:ind w:left="0" w:right="0" w:hanging="0"/>
        <w:rPr/>
      </w:pPr>
      <w:r>
        <w:rPr>
          <w:strike/>
          <w:lang w:eastAsia="en-US"/>
        </w:rPr>
        <w:t xml:space="preserve">É admitida a cessão fiduciária de direitos creditícios com instituição financeira, nos termos e de acordo com os procedimentos previstos na </w:t>
      </w:r>
      <w:hyperlink r:id="rId5">
        <w:r>
          <w:rPr>
            <w:rStyle w:val="LinkdaInternet"/>
            <w:strike/>
            <w:lang w:eastAsia="en-US"/>
          </w:rPr>
          <w:t>Instrução Normativa SEGES/ME nº 53, de 8 de Julho de 2020</w:t>
        </w:r>
      </w:hyperlink>
      <w:r>
        <w:rPr>
          <w:strike/>
          <w:lang w:eastAsia="en-US"/>
        </w:rPr>
        <w:t>, conforme as regras deste presente tópico.</w:t>
      </w:r>
    </w:p>
    <w:p>
      <w:pPr>
        <w:pStyle w:val="Nvel3R"/>
        <w:numPr>
          <w:ilvl w:val="2"/>
          <w:numId w:val="298"/>
        </w:numPr>
        <w:ind w:left="284" w:hanging="0"/>
        <w:rPr>
          <w:strike/>
        </w:rPr>
      </w:pPr>
      <w:bookmarkStart w:id="0" w:name="_Ref118216946"/>
      <w:r>
        <w:rPr>
          <w:strike/>
          <w:lang w:eastAsia="en-US"/>
        </w:rPr>
        <w:t xml:space="preserve">As cessões de crédito </w:t>
      </w:r>
      <w:r>
        <w:rPr>
          <w:strike/>
        </w:rPr>
        <w:t xml:space="preserve">não abrangidas pela Instrução Normativa SEGES/ME nº 53, de 8 de julho de 2020 </w:t>
      </w:r>
      <w:r>
        <w:rPr>
          <w:strike/>
          <w:lang w:eastAsia="en-US"/>
        </w:rPr>
        <w:t>dependerão de prévia aprovação do contratante.</w:t>
      </w:r>
      <w:bookmarkEnd w:id="0"/>
    </w:p>
    <w:p>
      <w:pPr>
        <w:pStyle w:val="Nivel2"/>
        <w:numPr>
          <w:ilvl w:val="1"/>
          <w:numId w:val="299"/>
        </w:numPr>
        <w:ind w:left="0" w:right="0" w:hanging="0"/>
        <w:rPr>
          <w:strike/>
        </w:rPr>
      </w:pPr>
      <w:r>
        <w:rPr>
          <w:strike/>
          <w:lang w:eastAsia="en-US"/>
        </w:rPr>
        <w:t>A eficácia da cessão de crédito</w:t>
      </w:r>
      <w:r>
        <w:rPr>
          <w:strike/>
        </w:rPr>
        <w:t xml:space="preserve"> não abrangidas pela Instrução Normativa SEGES/ME nº 53, de 8 de julho de 2020,</w:t>
      </w:r>
      <w:r>
        <w:rPr>
          <w:strike/>
          <w:lang w:eastAsia="en-US"/>
        </w:rPr>
        <w:t xml:space="preserve"> em relação à Administração, está condicionada à celebração de termo aditivo ao contrato administrativo.</w:t>
      </w:r>
    </w:p>
    <w:p>
      <w:pPr>
        <w:pStyle w:val="Nivel2"/>
        <w:numPr>
          <w:ilvl w:val="1"/>
          <w:numId w:val="300"/>
        </w:numPr>
        <w:ind w:left="0" w:right="0" w:hanging="0"/>
        <w:rPr/>
      </w:pPr>
      <w:r>
        <w:rPr>
          <w:strike/>
          <w:lang w:eastAsia="en-US"/>
        </w:rPr>
        <w:t xml:space="preserve">Sem prejuízo do regular atendimento da obrigação contratual de cumprimento de todas as condições de habilitação por parte do contratado (cedente), a celebração do aditamento de cessão de crédito e a realização dos pagamentos respectivos também se condicionam à regularidade fiscal e trabalhista do cessionário, bem como à certificação de que o cessionário não se encontra impedido de licitar e contratar com o Poder Público, conforme a legislação em vigor, ou de receber benefícios ou incentivos fiscais ou creditícios, direta ou indiretamente, conforme </w:t>
      </w:r>
      <w:r>
        <w:fldChar w:fldCharType="begin"/>
      </w:r>
      <w:r>
        <w:rPr>
          <w:rStyle w:val="LinkdaInternet"/>
          <w:strike/>
          <w:lang w:eastAsia="en-US"/>
        </w:rPr>
        <w:instrText> HYPERLINK "https://www.planalto.gov.br/ccivil_03/leis/l8429.htm" \l ":~:text=LEI Nº 8.429%2C DE 2 DE JUNHO DE 1992&amp;text=Dispõe sobre as sanções aplicáveis,fundacional e dá outras providências."</w:instrText>
      </w:r>
      <w:r>
        <w:rPr>
          <w:rStyle w:val="LinkdaInternet"/>
          <w:strike/>
          <w:lang w:eastAsia="en-US"/>
        </w:rPr>
        <w:fldChar w:fldCharType="separate"/>
      </w:r>
      <w:r>
        <w:rPr>
          <w:rStyle w:val="LinkdaInternet"/>
          <w:strike/>
          <w:lang w:eastAsia="en-US"/>
        </w:rPr>
        <w:t>o art. 12 da Lei nº 8.429, de 1992</w:t>
      </w:r>
      <w:r>
        <w:rPr>
          <w:rStyle w:val="LinkdaInternet"/>
          <w:strike/>
          <w:lang w:eastAsia="en-US"/>
        </w:rPr>
        <w:fldChar w:fldCharType="end"/>
      </w:r>
      <w:r>
        <w:rPr>
          <w:strike/>
          <w:lang w:eastAsia="en-US"/>
        </w:rPr>
        <w:t xml:space="preserve">, nos termos do </w:t>
      </w:r>
      <w:hyperlink r:id="rId6">
        <w:r>
          <w:rPr>
            <w:rStyle w:val="LinkdaInternet"/>
            <w:strike/>
            <w:lang w:eastAsia="en-US"/>
          </w:rPr>
          <w:t>Parecer JL-01, de 18 de maio de 2020.</w:t>
        </w:r>
      </w:hyperlink>
    </w:p>
    <w:p>
      <w:pPr>
        <w:pStyle w:val="Nivel2"/>
        <w:numPr>
          <w:ilvl w:val="1"/>
          <w:numId w:val="301"/>
        </w:numPr>
        <w:ind w:left="0" w:right="0" w:hanging="0"/>
        <w:rPr>
          <w:strike/>
        </w:rPr>
      </w:pPr>
      <w:r>
        <w:rPr>
          <w:strike/>
        </w:rPr>
        <w:t>O crédito a ser pago à cessionária é exatamente aquele que seria destinado à cedente (contratado) pela execução do objeto contratual, restando absolutamente incólumes todas as defesas e exceções ao pagamento e todas as demais cláusulas exorbitantes ao direito comum aplicáveis no regime jurídico de direito público incidente sobre os contratos administrativos, incluindo a possibilidade de pagamento em conta vinculada ou de pagamento pela efetiva comprovação do fato gerador, quando for o caso, e o desconto de multas, glosas e prejuízos causados à Administração.</w:t>
      </w:r>
      <w:r>
        <w:rPr>
          <w:strike/>
          <w:sz w:val="19"/>
          <w:szCs w:val="19"/>
        </w:rPr>
        <w:t xml:space="preserve"> (INSTRUÇÃO NORMATIVA Nº 53, DE 8 DE JULHO DE 2020 e Anexos)</w:t>
      </w:r>
    </w:p>
    <w:p>
      <w:pPr>
        <w:pStyle w:val="Nivel2"/>
        <w:numPr>
          <w:ilvl w:val="1"/>
          <w:numId w:val="302"/>
        </w:numPr>
        <w:ind w:left="0" w:right="0" w:hanging="0"/>
        <w:rPr>
          <w:strike/>
        </w:rPr>
      </w:pPr>
      <w:r>
        <w:rPr>
          <w:strike/>
          <w:lang w:eastAsia="en-US"/>
        </w:rPr>
        <w:t>A cessão de crédito não afetará a execução do objeto contratado, que continuará sob a integral responsabilidade do contratado.</w:t>
      </w:r>
    </w:p>
    <w:p>
      <w:pPr>
        <w:pStyle w:val="Nivel01"/>
        <w:numPr>
          <w:ilvl w:val="0"/>
          <w:numId w:val="4"/>
        </w:numPr>
        <w:ind w:left="0" w:hanging="0"/>
        <w:rPr/>
      </w:pPr>
      <w:r>
        <w:rPr/>
        <w:t>FORMA E CRITÉRIOS DE SELEÇÃO DO FORNECEDOR E FORMA DE FORNECIMENTO</w:t>
      </w:r>
    </w:p>
    <w:p>
      <w:pPr>
        <w:pStyle w:val="Nvel1SemNumPreto"/>
        <w:rPr>
          <w:highlight w:val="yellow"/>
        </w:rPr>
      </w:pPr>
      <w:r>
        <w:rPr/>
        <w:t>Forma de seleção e critério de julgamento da proposta</w:t>
      </w:r>
    </w:p>
    <w:p>
      <w:pPr>
        <w:pStyle w:val="Nivel2"/>
        <w:numPr>
          <w:ilvl w:val="1"/>
          <w:numId w:val="303"/>
        </w:numPr>
        <w:ind w:left="0" w:right="0" w:hanging="0"/>
        <w:rPr/>
      </w:pPr>
      <w:r>
        <w:rPr/>
        <w:t>O fornecedor será selecionado por meio da realização de procedimento de LICITAÇÃO, na modalidade PREGÃO, sob a forma ELETRÔNICA, com adoção do critério de julgamento pelo MAIOR DESCONTO.</w:t>
      </w:r>
    </w:p>
    <w:p>
      <w:pPr>
        <w:pStyle w:val="Nvel1SemNumPreto"/>
        <w:rPr/>
      </w:pPr>
      <w:r>
        <w:rPr/>
        <w:t>Forma de fornecimento</w:t>
      </w:r>
    </w:p>
    <w:p>
      <w:pPr>
        <w:pStyle w:val="Nivel2"/>
        <w:numPr>
          <w:ilvl w:val="1"/>
          <w:numId w:val="304"/>
        </w:numPr>
        <w:ind w:left="0" w:right="0" w:hanging="0"/>
        <w:rPr/>
      </w:pPr>
      <w:r>
        <w:rPr>
          <w:rStyle w:val="Normaltextrun"/>
          <w:shd w:fill="FFFFFF" w:val="clear"/>
        </w:rPr>
        <w:t xml:space="preserve">O </w:t>
      </w:r>
      <w:r>
        <w:rPr>
          <w:rStyle w:val="Findhit"/>
          <w:shd w:fill="FFFFFF" w:val="clear"/>
        </w:rPr>
        <w:t xml:space="preserve">fornecimento do objeto será </w:t>
      </w:r>
      <w:r>
        <w:rPr>
          <w:rStyle w:val="Findhit"/>
          <w:rFonts w:eastAsia="Arial" w:cs="Arial"/>
          <w:strike w:val="false"/>
          <w:dstrike w:val="false"/>
          <w:color w:val="000000"/>
          <w:kern w:val="0"/>
          <w:sz w:val="20"/>
          <w:szCs w:val="20"/>
          <w:shd w:fill="FFFFFF" w:val="clear"/>
          <w:lang w:val="pt-BR" w:eastAsia="pt-BR" w:bidi="ar-SA"/>
        </w:rPr>
        <w:t>parcelado</w:t>
      </w:r>
      <w:r>
        <w:rPr>
          <w:shd w:fill="FFFFFF" w:val="clear"/>
        </w:rPr>
        <w:t>.</w:t>
      </w:r>
    </w:p>
    <w:p>
      <w:pPr>
        <w:pStyle w:val="Nvel1SemNumPreto"/>
        <w:rPr/>
      </w:pPr>
      <w:r>
        <w:rPr/>
        <w:t>Exigências de habilitação</w:t>
      </w:r>
    </w:p>
    <w:p>
      <w:pPr>
        <w:pStyle w:val="Nivel2"/>
        <w:numPr>
          <w:ilvl w:val="1"/>
          <w:numId w:val="305"/>
        </w:numPr>
        <w:ind w:left="0" w:right="0" w:hanging="0"/>
        <w:rPr/>
      </w:pPr>
      <w:r>
        <w:rPr/>
        <w:t>Para fins de habilitação, deverá o licitante comprovar os seguintes requisitos:</w:t>
      </w:r>
    </w:p>
    <w:p>
      <w:pPr>
        <w:pStyle w:val="Nvel1SemNumPreto"/>
        <w:rPr/>
      </w:pPr>
      <w:r>
        <w:rPr/>
        <w:t>Habilitação jurídica</w:t>
      </w:r>
    </w:p>
    <w:p>
      <w:pPr>
        <w:pStyle w:val="Nivel2"/>
        <w:numPr>
          <w:ilvl w:val="1"/>
          <w:numId w:val="306"/>
        </w:numPr>
        <w:ind w:left="0" w:right="0" w:hanging="0"/>
        <w:rPr/>
      </w:pPr>
      <w:bookmarkStart w:id="1" w:name="_Ref115800561"/>
      <w:r>
        <w:rPr>
          <w:b/>
          <w:bCs/>
        </w:rPr>
        <w:t>Pessoa física:</w:t>
      </w:r>
      <w:r>
        <w:rPr/>
        <w:t xml:space="preserve"> cédula de identidade (RG) ou documento equivalente que, por força de lei, tenha validade para fins de identificação em todo o território nacional;</w:t>
      </w:r>
      <w:bookmarkEnd w:id="1"/>
    </w:p>
    <w:p>
      <w:pPr>
        <w:pStyle w:val="Nivel2"/>
        <w:numPr>
          <w:ilvl w:val="1"/>
          <w:numId w:val="307"/>
        </w:numPr>
        <w:ind w:left="0" w:right="0" w:hanging="0"/>
        <w:rPr/>
      </w:pPr>
      <w:r>
        <w:rPr>
          <w:b/>
          <w:bCs/>
        </w:rPr>
        <w:t>Empresário individual:</w:t>
      </w:r>
      <w:r>
        <w:rPr/>
        <w:t xml:space="preserve"> inscrição no Registro Público de Empresas Mercantis, a cargo da Junta Comercial da respectiva sede; </w:t>
      </w:r>
    </w:p>
    <w:p>
      <w:pPr>
        <w:pStyle w:val="Nivel2"/>
        <w:numPr>
          <w:ilvl w:val="1"/>
          <w:numId w:val="308"/>
        </w:numPr>
        <w:ind w:left="0" w:right="0" w:hanging="0"/>
        <w:rPr/>
      </w:pPr>
      <w:r>
        <w:rPr>
          <w:b/>
          <w:bCs/>
        </w:rPr>
        <w:t>Microempreendedor Individual - MEI:</w:t>
      </w:r>
      <w:r>
        <w:rPr/>
        <w:t xml:space="preserve"> Certificado da Condição de Microempreendedor Individual - CCMEI, cuja aceitação ficará condicionada à verificação da autenticidade no sítio </w:t>
      </w:r>
      <w:hyperlink r:id="rId7">
        <w:r>
          <w:rPr>
            <w:rStyle w:val="LinkdaInternet"/>
          </w:rPr>
          <w:t>https://www.gov.br/empresas-e-negocios/pt-br/empreendedor</w:t>
        </w:r>
      </w:hyperlink>
      <w:r>
        <w:rPr/>
        <w:t xml:space="preserve">; </w:t>
      </w:r>
    </w:p>
    <w:p>
      <w:pPr>
        <w:pStyle w:val="Nivel2"/>
        <w:numPr>
          <w:ilvl w:val="1"/>
          <w:numId w:val="309"/>
        </w:numPr>
        <w:ind w:left="0" w:right="0" w:hanging="0"/>
        <w:rPr/>
      </w:pPr>
      <w:r>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pPr>
        <w:pStyle w:val="Nivel2"/>
        <w:numPr>
          <w:ilvl w:val="1"/>
          <w:numId w:val="310"/>
        </w:numPr>
        <w:ind w:left="0" w:right="0" w:hanging="0"/>
        <w:rPr/>
      </w:pPr>
      <w:r>
        <w:rPr>
          <w:b/>
          <w:bCs/>
        </w:rPr>
        <w:t>Sociedade empresária estrangeira:</w:t>
      </w:r>
      <w:r>
        <w:rPr/>
        <w:t xml:space="preserve"> portaria de autorização de funcionamento no Brasil, publicada no Diário Oficial da União e arquivada na Junta Comercial da unidade federativa onde se localizar a filial, agência, sucursal ou estabelecimento, a qual será considerada como sua sede, conforme Instrução </w:t>
      </w:r>
      <w:hyperlink r:id="rId8">
        <w:r>
          <w:rPr>
            <w:rStyle w:val="LinkdaInternet"/>
          </w:rPr>
          <w:t>Normativa DREI/ME n.º 77, de 18 de março de 2020</w:t>
        </w:r>
      </w:hyperlink>
      <w:r>
        <w:rPr/>
        <w:t>.</w:t>
      </w:r>
    </w:p>
    <w:p>
      <w:pPr>
        <w:pStyle w:val="Nivel2"/>
        <w:numPr>
          <w:ilvl w:val="1"/>
          <w:numId w:val="311"/>
        </w:numPr>
        <w:ind w:left="0" w:right="0" w:hanging="0"/>
        <w:rPr/>
      </w:pPr>
      <w:r>
        <w:rPr>
          <w:b/>
          <w:bCs/>
        </w:rPr>
        <w:t xml:space="preserve">Sociedade simples: </w:t>
      </w:r>
      <w:r>
        <w:rPr/>
        <w:t>inscrição do ato constitutivo no Registro Civil de Pessoas Jurídicas do local de sua sede, acompanhada de documento comprobatório de seus administradores;</w:t>
      </w:r>
    </w:p>
    <w:p>
      <w:pPr>
        <w:pStyle w:val="Nivel2"/>
        <w:numPr>
          <w:ilvl w:val="1"/>
          <w:numId w:val="312"/>
        </w:numPr>
        <w:ind w:left="0" w:right="0" w:hanging="0"/>
        <w:rPr/>
      </w:pPr>
      <w:r>
        <w:rPr>
          <w:b/>
          <w:bCs/>
        </w:rPr>
        <w:t>Filial, sucursal ou agência de sociedade simples ou empresária:</w:t>
      </w:r>
      <w:r>
        <w:rPr/>
        <w:t xml:space="preserve"> inscrição do ato constitutivo da filial, sucursal ou agência da sociedade simples ou empresária, respectivamente, no Registro Civil das Pessoas Jurídicas ou no Registro Público de Empresas </w:t>
      </w:r>
      <w:bookmarkStart w:id="2" w:name="_Int_ySfCXwr4"/>
      <w:r>
        <w:rPr/>
        <w:t>Mercantis onde</w:t>
      </w:r>
      <w:bookmarkEnd w:id="2"/>
      <w:r>
        <w:rPr/>
        <w:t xml:space="preserve"> opera, com averbação no Registro onde tem sede a matriz</w:t>
      </w:r>
    </w:p>
    <w:p>
      <w:pPr>
        <w:pStyle w:val="Nivel2"/>
        <w:numPr>
          <w:ilvl w:val="1"/>
          <w:numId w:val="313"/>
        </w:numPr>
        <w:ind w:left="0" w:right="0" w:hanging="0"/>
        <w:rPr/>
      </w:pPr>
      <w:r>
        <w:rPr>
          <w:b/>
          <w:bCs/>
        </w:rPr>
        <w:t>Sociedade cooperativa:</w:t>
      </w:r>
      <w:r>
        <w:rPr/>
        <w:t xml:space="preserve"> ata de fundação e estatuto social, com a ata da assembleia que o aprovou, devidamente arquivado na Junta Comercial ou inscrito no Registro Civil das Pessoas Jurídicas da respectiva sede, além do registro de que trata o </w:t>
      </w:r>
      <w:r>
        <w:fldChar w:fldCharType="begin"/>
      </w:r>
      <w:r>
        <w:rPr>
          <w:rStyle w:val="LinkdaInternet"/>
        </w:rPr>
        <w:instrText> HYPERLINK "https://www.planalto.gov.br/ccivil_03/leis/l5764.htm" \l "art107"</w:instrText>
      </w:r>
      <w:r>
        <w:rPr>
          <w:rStyle w:val="LinkdaInternet"/>
        </w:rPr>
        <w:fldChar w:fldCharType="separate"/>
      </w:r>
      <w:r>
        <w:rPr>
          <w:rStyle w:val="LinkdaInternet"/>
        </w:rPr>
        <w:t>art. 107 da Lei nº 5.764, de 16 de dezembro 1971</w:t>
      </w:r>
      <w:r>
        <w:rPr>
          <w:rStyle w:val="LinkdaInternet"/>
        </w:rPr>
        <w:fldChar w:fldCharType="end"/>
      </w:r>
      <w:r>
        <w:rPr/>
        <w:t>.</w:t>
      </w:r>
    </w:p>
    <w:p>
      <w:pPr>
        <w:pStyle w:val="Nivel2"/>
        <w:numPr>
          <w:ilvl w:val="1"/>
          <w:numId w:val="314"/>
        </w:numPr>
        <w:ind w:left="0" w:right="0" w:hanging="0"/>
        <w:rPr/>
      </w:pPr>
      <w:r>
        <w:rPr>
          <w:b/>
          <w:bCs/>
          <w:strike/>
        </w:rPr>
        <w:t>Agricultor familiar:</w:t>
      </w:r>
      <w:r>
        <w:rPr>
          <w:strike/>
        </w:rPr>
        <w:t xml:space="preserve"> Declaração de Aptidão ao Pronaf – DAP ou DAP-P válida, ou, ainda, outros documentos definidos pela Secretaria Especial de Agricultura Familiar e do Desenvolvimento Agrário, nos termos do</w:t>
      </w:r>
      <w:r>
        <w:fldChar w:fldCharType="begin"/>
      </w:r>
      <w:r>
        <w:rPr>
          <w:rStyle w:val="LinkdaInternet"/>
          <w:strike/>
        </w:rPr>
        <w:instrText> HYPERLINK "https://www.planalto.gov.br/ccivil_03/_ato2019-2022/2021/decreto/d10880.htm" \l "art4§2"</w:instrText>
      </w:r>
      <w:r>
        <w:rPr>
          <w:rStyle w:val="LinkdaInternet"/>
          <w:strike/>
        </w:rPr>
        <w:fldChar w:fldCharType="separate"/>
      </w:r>
      <w:r>
        <w:rPr>
          <w:rStyle w:val="LinkdaInternet"/>
          <w:strike/>
        </w:rPr>
        <w:t xml:space="preserve"> art. 4º, §2º do Decreto nº 10.880, de 2 de dezembro de 2021</w:t>
      </w:r>
      <w:r>
        <w:rPr>
          <w:rStyle w:val="LinkdaInternet"/>
          <w:strike/>
        </w:rPr>
        <w:fldChar w:fldCharType="end"/>
      </w:r>
      <w:r>
        <w:rPr>
          <w:strike/>
        </w:rPr>
        <w:t>.</w:t>
      </w:r>
    </w:p>
    <w:p>
      <w:pPr>
        <w:pStyle w:val="Nivel2"/>
        <w:numPr>
          <w:ilvl w:val="1"/>
          <w:numId w:val="315"/>
        </w:numPr>
        <w:ind w:left="0" w:right="0" w:hanging="0"/>
        <w:rPr/>
      </w:pPr>
      <w:r>
        <w:rPr>
          <w:b/>
          <w:bCs/>
          <w:strike/>
        </w:rPr>
        <w:t>Produtor Rural:</w:t>
      </w:r>
      <w:r>
        <w:rPr>
          <w:strike/>
        </w:rPr>
        <w:t xml:space="preserve"> matrícula no Cadastro Específico do INSS – CEI, que comprove a qualificação como produtor rural pessoa física, nos termos da </w:t>
      </w:r>
      <w:hyperlink r:id="rId9">
        <w:r>
          <w:rPr>
            <w:rStyle w:val="LinkdaInternet"/>
            <w:strike/>
          </w:rPr>
          <w:t>Instrução Normativa RFB n. 971, de 13 de novembro de 2009</w:t>
        </w:r>
      </w:hyperlink>
      <w:r>
        <w:rPr>
          <w:strike/>
        </w:rPr>
        <w:t xml:space="preserve"> (arts. 17 a 19 e 165).</w:t>
      </w:r>
    </w:p>
    <w:p>
      <w:pPr>
        <w:pStyle w:val="Nivel2"/>
        <w:numPr>
          <w:ilvl w:val="1"/>
          <w:numId w:val="316"/>
        </w:numPr>
        <w:ind w:left="0" w:right="0" w:hanging="0"/>
        <w:rPr/>
      </w:pPr>
      <w:r>
        <w:rPr/>
        <w:t>Os documentos apresentados deverão estar acompanhados de todas as alterações ou da consolidação respectiva.</w:t>
      </w:r>
    </w:p>
    <w:p>
      <w:pPr>
        <w:pStyle w:val="Nvel1SemNumPreto"/>
        <w:rPr/>
      </w:pPr>
      <w:r>
        <w:rPr/>
        <w:t>Habilitação fiscal, social e trabalhista</w:t>
      </w:r>
    </w:p>
    <w:p>
      <w:pPr>
        <w:pStyle w:val="Nivel2"/>
        <w:numPr>
          <w:ilvl w:val="1"/>
          <w:numId w:val="317"/>
        </w:numPr>
        <w:ind w:left="0" w:right="0" w:hanging="0"/>
        <w:rPr/>
      </w:pPr>
      <w:r>
        <w:rPr/>
        <w:t>Prova de inscrição no Cadastro Nacional de Pessoas Jurídicas ou no Cadastro de Pessoas Físicas, conforme o caso;</w:t>
      </w:r>
    </w:p>
    <w:p>
      <w:pPr>
        <w:pStyle w:val="Nivel2"/>
        <w:numPr>
          <w:ilvl w:val="1"/>
          <w:numId w:val="318"/>
        </w:numPr>
        <w:ind w:left="0" w:right="0" w:hanging="0"/>
        <w:rPr/>
      </w:pPr>
      <w:r>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pPr>
        <w:pStyle w:val="Nivel2"/>
        <w:numPr>
          <w:ilvl w:val="1"/>
          <w:numId w:val="319"/>
        </w:numPr>
        <w:ind w:left="0" w:right="0" w:hanging="0"/>
        <w:rPr/>
      </w:pPr>
      <w:r>
        <w:rPr/>
        <w:t>Prova de regularidade com o Fundo de Garantia do Tempo de Serviço (FGTS);</w:t>
      </w:r>
    </w:p>
    <w:p>
      <w:pPr>
        <w:pStyle w:val="Nivel2"/>
        <w:numPr>
          <w:ilvl w:val="1"/>
          <w:numId w:val="320"/>
        </w:numPr>
        <w:ind w:left="0" w:right="0" w:hanging="0"/>
        <w:rPr/>
      </w:pPr>
      <w:r>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pPr>
        <w:pStyle w:val="Nivel2"/>
        <w:numPr>
          <w:ilvl w:val="1"/>
          <w:numId w:val="321"/>
        </w:numPr>
        <w:ind w:left="0" w:right="0" w:hanging="0"/>
        <w:rPr/>
      </w:pPr>
      <w:r>
        <w:rPr/>
        <w:t>Prova de inscrição no cadastro de contribuintes</w:t>
      </w:r>
      <w:r>
        <w:rPr>
          <w:i/>
          <w:iCs/>
          <w:color w:val="FF0000"/>
        </w:rPr>
        <w:t xml:space="preserve"> </w:t>
      </w:r>
      <w:r>
        <w:rPr>
          <w:b/>
          <w:bCs/>
          <w:i/>
          <w:iCs/>
          <w:strike w:val="false"/>
          <w:dstrike w:val="false"/>
          <w:color w:val="000000"/>
        </w:rPr>
        <w:t>estadual</w:t>
      </w:r>
      <w:r>
        <w:rPr>
          <w:b/>
          <w:bCs/>
          <w:i w:val="false"/>
          <w:iCs w:val="false"/>
          <w:strike w:val="false"/>
          <w:dstrike w:val="false"/>
          <w:color w:val="000000"/>
        </w:rPr>
        <w:t>/distrital</w:t>
      </w:r>
      <w:r>
        <w:rPr>
          <w:color w:val="FF0000"/>
        </w:rPr>
        <w:t xml:space="preserve"> </w:t>
      </w:r>
      <w:r>
        <w:rPr/>
        <w:t xml:space="preserve">relativo ao domicílio ou sede do fornecedor, pertinente ao seu ramo de atividade e compatível com o objeto contratual; </w:t>
      </w:r>
    </w:p>
    <w:p>
      <w:pPr>
        <w:pStyle w:val="Nivel2"/>
        <w:numPr>
          <w:ilvl w:val="1"/>
          <w:numId w:val="322"/>
        </w:numPr>
        <w:ind w:left="0" w:right="0" w:hanging="0"/>
        <w:rPr/>
      </w:pPr>
      <w:r>
        <w:rPr/>
        <w:t>Prova de regularidade com a Fazenda</w:t>
      </w:r>
      <w:r>
        <w:rPr>
          <w:i/>
          <w:iCs/>
          <w:color w:val="FF0000"/>
        </w:rPr>
        <w:t xml:space="preserve"> </w:t>
      </w:r>
      <w:r>
        <w:rPr>
          <w:b/>
          <w:bCs/>
          <w:i/>
          <w:iCs/>
          <w:color w:val="000000"/>
        </w:rPr>
        <w:t>estadual</w:t>
      </w:r>
      <w:r>
        <w:rPr>
          <w:b/>
          <w:bCs/>
          <w:i w:val="false"/>
          <w:iCs w:val="false"/>
          <w:color w:val="000000"/>
        </w:rPr>
        <w:t>/distrital</w:t>
      </w:r>
      <w:r>
        <w:rPr>
          <w:b/>
          <w:bCs/>
          <w:color w:val="000000"/>
        </w:rPr>
        <w:t xml:space="preserve"> </w:t>
      </w:r>
      <w:r>
        <w:rPr/>
        <w:t>do domicílio ou sede do fornecedor, relativa à atividade em cujo exercício contrata ou concorre;</w:t>
      </w:r>
    </w:p>
    <w:p>
      <w:pPr>
        <w:pStyle w:val="Nivel2"/>
        <w:numPr>
          <w:ilvl w:val="1"/>
          <w:numId w:val="323"/>
        </w:numPr>
        <w:ind w:left="0" w:right="0" w:hanging="0"/>
        <w:rPr/>
      </w:pPr>
      <w:r>
        <w:rPr/>
        <w:t>Caso o fornecedor seja considerado isento dos tributos</w:t>
      </w:r>
      <w:r>
        <w:rPr>
          <w:i/>
          <w:iCs/>
          <w:color w:val="FF0000"/>
        </w:rPr>
        <w:t xml:space="preserve"> </w:t>
      </w:r>
      <w:r>
        <w:rPr>
          <w:b/>
          <w:bCs/>
          <w:i/>
          <w:iCs/>
          <w:color w:val="000000"/>
        </w:rPr>
        <w:t>estadual</w:t>
      </w:r>
      <w:r>
        <w:rPr>
          <w:b/>
          <w:bCs/>
          <w:i w:val="false"/>
          <w:iCs w:val="false"/>
          <w:color w:val="000000"/>
        </w:rPr>
        <w:t>/distrital</w:t>
      </w:r>
      <w:r>
        <w:rPr>
          <w:color w:val="FF0000"/>
        </w:rPr>
        <w:t xml:space="preserve"> </w:t>
      </w:r>
      <w:r>
        <w:rPr/>
        <w:t>relacionados ao objeto contratual, deverá comprovar tal condição mediante a apresentação de declaração da Fazenda respectiva do seu domicílio ou sede, ou outra equivalente, na forma da lei.</w:t>
      </w:r>
    </w:p>
    <w:p>
      <w:pPr>
        <w:pStyle w:val="Nivel2"/>
        <w:numPr>
          <w:ilvl w:val="1"/>
          <w:numId w:val="324"/>
        </w:numPr>
        <w:ind w:left="0" w:right="0" w:hanging="0"/>
        <w:rPr/>
      </w:pPr>
      <w:r>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pPr>
        <w:pStyle w:val="Nvel1SemNumPreto"/>
        <w:rPr/>
      </w:pPr>
      <w:r>
        <w:rPr/>
        <w:t>Qualificação Econômico-Financeira</w:t>
      </w:r>
    </w:p>
    <w:p>
      <w:pPr>
        <w:pStyle w:val="Nivel2"/>
        <w:numPr>
          <w:ilvl w:val="1"/>
          <w:numId w:val="325"/>
        </w:numPr>
        <w:ind w:left="0" w:right="0" w:hanging="0"/>
        <w:rPr/>
      </w:pPr>
      <w:r>
        <w:rPr/>
        <w:t>Certidão negativa de insolvência civil expedida pelo distribuidor do domicílio ou sede do licitante, caso se trate de pessoa física, desde que admitida a sua participação na licitação (</w:t>
      </w:r>
      <w:r>
        <w:fldChar w:fldCharType="begin"/>
      </w:r>
      <w:r>
        <w:rPr>
          <w:rStyle w:val="LinkdaInternet"/>
        </w:rPr>
        <w:instrText> HYPERLINK "https://www.gov.br/compras/pt-br/acesso-a-informacao/legislacao/instrucoes-normativas/instrucao-normativa-seges-me-no-116-de-21-de-dezembro-de-2021" \l "art5"</w:instrText>
      </w:r>
      <w:r>
        <w:rPr>
          <w:rStyle w:val="LinkdaInternet"/>
        </w:rPr>
        <w:fldChar w:fldCharType="separate"/>
      </w:r>
      <w:r>
        <w:rPr>
          <w:rStyle w:val="LinkdaInternet"/>
        </w:rPr>
        <w:t>art. 5º, inciso II, alínea “c”, da Instrução Normativa Seges/ME nº 116, de 2021</w:t>
      </w:r>
      <w:r>
        <w:rPr>
          <w:rStyle w:val="LinkdaInternet"/>
        </w:rPr>
        <w:fldChar w:fldCharType="end"/>
      </w:r>
      <w:r>
        <w:rPr/>
        <w:t xml:space="preserve">), ou de sociedade simples; </w:t>
      </w:r>
    </w:p>
    <w:p>
      <w:pPr>
        <w:pStyle w:val="Nivel2"/>
        <w:numPr>
          <w:ilvl w:val="1"/>
          <w:numId w:val="326"/>
        </w:numPr>
        <w:ind w:left="0" w:right="0" w:hanging="0"/>
        <w:rPr/>
      </w:pPr>
      <w:r>
        <w:rPr/>
        <w:t xml:space="preserve">Certidão negativa de falência expedida pelo distribuidor da sede do fornecedor - </w:t>
      </w:r>
      <w:r>
        <w:fldChar w:fldCharType="begin"/>
      </w:r>
      <w:r>
        <w:rPr>
          <w:rStyle w:val="LinkdaInternet"/>
        </w:rPr>
        <w:instrText> HYPERLINK "http://www.planalto.gov.br/ccivil_03/_ato2019-2022/2021/lei/L14133.htm" \l "art69"</w:instrText>
      </w:r>
      <w:r>
        <w:rPr>
          <w:rStyle w:val="LinkdaInternet"/>
        </w:rPr>
        <w:fldChar w:fldCharType="separate"/>
      </w:r>
      <w:r>
        <w:rPr>
          <w:rStyle w:val="LinkdaInternet"/>
        </w:rPr>
        <w:t>Lei nº 14.133, de 2021, art. 69, caput, inciso II</w:t>
      </w:r>
      <w:r>
        <w:rPr>
          <w:rStyle w:val="LinkdaInternet"/>
        </w:rPr>
        <w:fldChar w:fldCharType="end"/>
      </w:r>
      <w:r>
        <w:rPr/>
        <w:t>);</w:t>
      </w:r>
    </w:p>
    <w:p>
      <w:pPr>
        <w:pStyle w:val="Nivel2"/>
        <w:numPr>
          <w:ilvl w:val="1"/>
          <w:numId w:val="327"/>
        </w:numPr>
        <w:ind w:left="0" w:right="0" w:hanging="0"/>
        <w:rPr/>
      </w:pPr>
      <w:r>
        <w:rPr/>
        <w:t>Balanço patrimonial, demonstração de resultado de exercício e demais demonstrações contábeis dos 2 (dois) últimos exercícios sociais, comprovando;</w:t>
      </w:r>
    </w:p>
    <w:p>
      <w:pPr>
        <w:pStyle w:val="Nivel3"/>
        <w:numPr>
          <w:ilvl w:val="2"/>
          <w:numId w:val="328"/>
        </w:numPr>
        <w:ind w:left="284" w:hanging="0"/>
        <w:rPr/>
      </w:pPr>
      <w:r>
        <w:rPr/>
        <w:t>índices de Liquidez Geral (LG), Liquidez Corrente (LC), e Solvência Geral (SG) superiores a 1 (um);</w:t>
      </w:r>
    </w:p>
    <w:p>
      <w:pPr>
        <w:pStyle w:val="Nivel3"/>
        <w:numPr>
          <w:ilvl w:val="2"/>
          <w:numId w:val="329"/>
        </w:numPr>
        <w:ind w:left="284" w:hanging="0"/>
        <w:rPr/>
      </w:pPr>
      <w:r>
        <w:rPr/>
        <w:t>As empresas criadas no exercício financeiro da licitação deverão atender a todas as exigências da habilitação e poderão substituir os demonstrativos contábeis pelo balanço de abertura.</w:t>
      </w:r>
    </w:p>
    <w:p>
      <w:pPr>
        <w:pStyle w:val="Nivel3"/>
        <w:numPr>
          <w:ilvl w:val="2"/>
          <w:numId w:val="330"/>
        </w:numPr>
        <w:ind w:left="284" w:hanging="0"/>
        <w:rPr/>
      </w:pPr>
      <w:r>
        <w:rPr/>
        <w:t>Os documentos referidos acima limitar-se-ão ao último exercício no caso de a pessoa jurídica ter sido constituída há menos de 2 (dois) anos;</w:t>
      </w:r>
    </w:p>
    <w:p>
      <w:pPr>
        <w:pStyle w:val="Nivel3"/>
        <w:numPr>
          <w:ilvl w:val="2"/>
          <w:numId w:val="331"/>
        </w:numPr>
        <w:ind w:left="284" w:hanging="0"/>
        <w:rPr/>
      </w:pPr>
      <w:r>
        <w:rPr/>
        <w:t>Os documentos referidos acima deverão ser exigidos com base no limite definido pela Receita Federal do Brasil para transmissão da Escrituração Contábil Digital - ECD ao Sped.</w:t>
      </w:r>
    </w:p>
    <w:p>
      <w:pPr>
        <w:pStyle w:val="Nivel2"/>
        <w:numPr>
          <w:ilvl w:val="1"/>
          <w:numId w:val="332"/>
        </w:numPr>
        <w:ind w:left="0" w:right="0" w:hanging="0"/>
        <w:rPr>
          <w:color w:val="FF0000"/>
        </w:rPr>
      </w:pPr>
      <w:r>
        <w:rPr/>
        <w:t xml:space="preserve">Caso a empresa licitante apresente resultado inferior ou igual a 1 (um) em qualquer dos índices de Liquidez Geral (LG), Solvência Geral (SG) e Liquidez Corrente (LC), será exigido para fins de </w:t>
      </w:r>
      <w:r>
        <w:rPr>
          <w:rFonts w:eastAsia="Arial"/>
        </w:rPr>
        <w:t xml:space="preserve">habilitação </w:t>
      </w:r>
      <w:r>
        <w:rPr>
          <w:rFonts w:eastAsia="Arial"/>
          <w:color w:val="000000"/>
        </w:rPr>
        <w:t xml:space="preserve">patrimônio líquido mínimo de </w:t>
      </w:r>
      <w:r>
        <w:rPr>
          <w:rFonts w:eastAsia="Arial"/>
          <w:b/>
          <w:bCs/>
          <w:color w:val="000000"/>
        </w:rPr>
        <w:t>10%</w:t>
      </w:r>
      <w:r>
        <w:rPr>
          <w:rFonts w:eastAsia="Arial"/>
          <w:color w:val="000000"/>
        </w:rPr>
        <w:t xml:space="preserve"> do valor total estimado da contratação.</w:t>
      </w:r>
    </w:p>
    <w:p>
      <w:pPr>
        <w:pStyle w:val="Nivel2"/>
        <w:numPr>
          <w:ilvl w:val="1"/>
          <w:numId w:val="333"/>
        </w:numPr>
        <w:ind w:left="0" w:right="0" w:hanging="0"/>
        <w:rPr/>
      </w:pPr>
      <w:r>
        <w:rPr/>
        <w:t>As empresas criadas no exercício financeiro da licitação deverão atender a todas as exigências da habilitação e poderão substituir os demonstrativos contábeis pelo balanço de abertura. (Lei nº 14.133, de 2021, art. 65, §1º).</w:t>
      </w:r>
    </w:p>
    <w:p>
      <w:pPr>
        <w:pStyle w:val="Nvel2Red"/>
        <w:numPr>
          <w:ilvl w:val="1"/>
          <w:numId w:val="334"/>
        </w:numPr>
        <w:ind w:left="0" w:right="0" w:hanging="0"/>
        <w:rPr/>
      </w:pPr>
      <w:r>
        <w:rPr>
          <w:i w:val="false"/>
          <w:iCs w:val="false"/>
          <w:color w:val="000000"/>
        </w:rPr>
        <w:t>O atendimento dos índices econômicos previstos neste item deverá ser atestado mediante declaração assinada por profissional habilitado da área contábil, apresentada pelo fornecedor.</w:t>
      </w:r>
    </w:p>
    <w:p>
      <w:pPr>
        <w:pStyle w:val="Nvel1SemNumPreto"/>
        <w:rPr/>
      </w:pPr>
      <w:r>
        <w:rPr/>
        <w:t>Qualificação Técnica</w:t>
      </w:r>
    </w:p>
    <w:p>
      <w:pPr>
        <w:pStyle w:val="Nvel2Red"/>
        <w:numPr>
          <w:ilvl w:val="1"/>
          <w:numId w:val="335"/>
        </w:numPr>
        <w:ind w:left="0" w:right="0" w:hanging="0"/>
        <w:rPr>
          <w:i w:val="false"/>
          <w:i w:val="false"/>
          <w:iCs w:val="false"/>
          <w:strike/>
        </w:rPr>
      </w:pPr>
      <w:r>
        <w:rPr>
          <w:i w:val="false"/>
          <w:iCs w:val="false"/>
          <w:strike/>
          <w:lang w:eastAsia="zh-CN" w:bidi="hi-IN"/>
        </w:rPr>
        <w:t>Registro ou inscrição da empresa na entidade profissional .........(escrever por extenso, se o caso), em plena validade;</w:t>
      </w:r>
    </w:p>
    <w:p>
      <w:pPr>
        <w:pStyle w:val="Nvel2Red"/>
        <w:numPr>
          <w:ilvl w:val="1"/>
          <w:numId w:val="336"/>
        </w:numPr>
        <w:ind w:left="0" w:right="0" w:hanging="0"/>
        <w:rPr>
          <w:i w:val="false"/>
          <w:i w:val="false"/>
          <w:iCs w:val="false"/>
          <w:color w:val="000000"/>
        </w:rPr>
      </w:pPr>
      <w:r>
        <w:rPr>
          <w:i w:val="false"/>
          <w:iCs w:val="false"/>
          <w:color w:val="000000"/>
        </w:rPr>
        <w:t>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pPr>
        <w:pStyle w:val="Nvel3R"/>
        <w:numPr>
          <w:ilvl w:val="2"/>
          <w:numId w:val="337"/>
        </w:numPr>
        <w:ind w:left="284" w:hanging="0"/>
        <w:rPr>
          <w:rFonts w:ascii="Arial" w:hAnsi="Arial"/>
          <w:i w:val="false"/>
          <w:i w:val="false"/>
          <w:iCs w:val="false"/>
          <w:color w:val="000000"/>
          <w:sz w:val="20"/>
          <w:szCs w:val="20"/>
          <w:shd w:fill="F8F8FF" w:val="clear"/>
        </w:rPr>
      </w:pPr>
      <w:r>
        <w:rPr>
          <w:i w:val="false"/>
          <w:iCs w:val="false"/>
          <w:color w:val="000000"/>
          <w:sz w:val="20"/>
          <w:szCs w:val="20"/>
          <w:shd w:fill="F8F8FF" w:val="clear"/>
        </w:rPr>
        <w:t xml:space="preserve">Para fins da comprovação de que trata este subitem, os atestados deverão dizer respeito a contratos executados com as seguintes características mínimas: </w:t>
      </w:r>
    </w:p>
    <w:p>
      <w:pPr>
        <w:pStyle w:val="Nvel4R"/>
        <w:numPr>
          <w:ilvl w:val="3"/>
          <w:numId w:val="338"/>
        </w:numPr>
        <w:ind w:left="567" w:hanging="0"/>
        <w:rPr>
          <w:rFonts w:ascii="Arial" w:hAnsi="Arial"/>
          <w:i w:val="false"/>
          <w:i w:val="false"/>
          <w:iCs w:val="false"/>
          <w:color w:val="000000"/>
          <w:sz w:val="20"/>
          <w:szCs w:val="20"/>
          <w:shd w:fill="F8F8FF" w:val="clear"/>
        </w:rPr>
      </w:pPr>
      <w:r>
        <w:rPr>
          <w:b w:val="false"/>
          <w:i w:val="false"/>
          <w:iCs w:val="false"/>
          <w:caps w:val="false"/>
          <w:smallCaps w:val="false"/>
          <w:color w:val="000000"/>
          <w:spacing w:val="0"/>
          <w:sz w:val="20"/>
          <w:szCs w:val="20"/>
          <w:shd w:fill="F8F8FF" w:val="clear"/>
        </w:rPr>
        <w:t>quantidade dos produtos entregues;</w:t>
      </w:r>
    </w:p>
    <w:p>
      <w:pPr>
        <w:pStyle w:val="Nvel4R"/>
        <w:numPr>
          <w:ilvl w:val="3"/>
          <w:numId w:val="339"/>
        </w:numPr>
        <w:ind w:left="567" w:hanging="0"/>
        <w:rPr>
          <w:rFonts w:ascii="Arial" w:hAnsi="Arial"/>
          <w:i w:val="false"/>
          <w:i w:val="false"/>
          <w:iCs w:val="false"/>
          <w:color w:val="000000"/>
          <w:sz w:val="20"/>
          <w:szCs w:val="20"/>
          <w:shd w:fill="F8F8FF" w:val="clear"/>
        </w:rPr>
      </w:pPr>
      <w:r>
        <w:rPr>
          <w:b w:val="false"/>
          <w:i w:val="false"/>
          <w:iCs w:val="false"/>
          <w:caps w:val="false"/>
          <w:smallCaps w:val="false"/>
          <w:color w:val="000000"/>
          <w:spacing w:val="0"/>
          <w:sz w:val="20"/>
          <w:szCs w:val="20"/>
          <w:shd w:fill="F8F8FF" w:val="clear"/>
        </w:rPr>
        <w:t>prazo de entrega;</w:t>
      </w:r>
    </w:p>
    <w:p>
      <w:pPr>
        <w:pStyle w:val="Nvel4R"/>
        <w:numPr>
          <w:ilvl w:val="3"/>
          <w:numId w:val="340"/>
        </w:numPr>
        <w:ind w:left="567" w:hanging="0"/>
        <w:rPr>
          <w:rFonts w:ascii="Arial" w:hAnsi="Arial"/>
          <w:i w:val="false"/>
          <w:i w:val="false"/>
          <w:iCs w:val="false"/>
          <w:color w:val="000000"/>
          <w:sz w:val="20"/>
          <w:szCs w:val="20"/>
          <w:shd w:fill="F8F8FF" w:val="clear"/>
        </w:rPr>
      </w:pPr>
      <w:r>
        <w:rPr>
          <w:b w:val="false"/>
          <w:i w:val="false"/>
          <w:iCs w:val="false"/>
          <w:caps w:val="false"/>
          <w:smallCaps w:val="false"/>
          <w:color w:val="000000"/>
          <w:spacing w:val="0"/>
          <w:sz w:val="20"/>
          <w:szCs w:val="20"/>
          <w:shd w:fill="F8F8FF" w:val="clear"/>
        </w:rPr>
        <w:t xml:space="preserve">características dos produtos; </w:t>
      </w:r>
    </w:p>
    <w:p>
      <w:pPr>
        <w:pStyle w:val="Nvel4R"/>
        <w:numPr>
          <w:ilvl w:val="3"/>
          <w:numId w:val="341"/>
        </w:numPr>
        <w:ind w:left="567" w:hanging="0"/>
        <w:rPr/>
      </w:pPr>
      <w:r>
        <w:rPr>
          <w:b w:val="false"/>
          <w:i w:val="false"/>
          <w:iCs w:val="false"/>
          <w:caps w:val="false"/>
          <w:smallCaps w:val="false"/>
          <w:color w:val="000000"/>
          <w:spacing w:val="0"/>
          <w:sz w:val="20"/>
          <w:szCs w:val="20"/>
          <w:shd w:fill="F8F8FF" w:val="clear"/>
        </w:rPr>
        <w:t>satisfação d</w:t>
      </w:r>
      <w:r>
        <w:rPr>
          <w:rFonts w:eastAsia="" w:cs="Arial"/>
          <w:b w:val="false"/>
          <w:i w:val="false"/>
          <w:iCs w:val="false"/>
          <w:caps w:val="false"/>
          <w:smallCaps w:val="false"/>
          <w:color w:val="000000"/>
          <w:spacing w:val="0"/>
          <w:kern w:val="0"/>
          <w:sz w:val="20"/>
          <w:szCs w:val="20"/>
          <w:shd w:fill="F8F8FF" w:val="clear"/>
          <w:lang w:val="pt-BR" w:eastAsia="pt-BR" w:bidi="ar-SA"/>
        </w:rPr>
        <w:t>o Orgão</w:t>
      </w:r>
      <w:r>
        <w:rPr>
          <w:b w:val="false"/>
          <w:i w:val="false"/>
          <w:iCs w:val="false"/>
          <w:caps w:val="false"/>
          <w:smallCaps w:val="false"/>
          <w:color w:val="000000"/>
          <w:spacing w:val="0"/>
          <w:sz w:val="20"/>
          <w:szCs w:val="20"/>
          <w:shd w:fill="F8F8FF" w:val="clear"/>
        </w:rPr>
        <w:t xml:space="preserve"> em relação ao serviço prestado </w:t>
      </w:r>
    </w:p>
    <w:p>
      <w:pPr>
        <w:pStyle w:val="Nvel3R"/>
        <w:numPr>
          <w:ilvl w:val="2"/>
          <w:numId w:val="342"/>
        </w:numPr>
        <w:ind w:left="284" w:hanging="0"/>
        <w:rPr>
          <w:i w:val="false"/>
          <w:i w:val="false"/>
          <w:iCs w:val="false"/>
          <w:color w:val="000000"/>
          <w:shd w:fill="F8F8FF" w:val="clear"/>
        </w:rPr>
      </w:pPr>
      <w:r>
        <w:rPr>
          <w:i w:val="false"/>
          <w:iCs w:val="false"/>
          <w:color w:val="000000"/>
          <w:shd w:fill="F8F8FF" w:val="clear"/>
        </w:rPr>
        <w:t>Será admitida, para fins de comprovação de quantitativo mínimo, a apresentação e o somatório de diferentes atestados executados de forma concomitante.</w:t>
      </w:r>
    </w:p>
    <w:p>
      <w:pPr>
        <w:pStyle w:val="Nvel3R"/>
        <w:numPr>
          <w:ilvl w:val="2"/>
          <w:numId w:val="343"/>
        </w:numPr>
        <w:ind w:left="284" w:hanging="0"/>
        <w:rPr>
          <w:i w:val="false"/>
          <w:i w:val="false"/>
          <w:iCs w:val="false"/>
          <w:color w:val="000000"/>
          <w:shd w:fill="F8F8FF" w:val="clear"/>
        </w:rPr>
      </w:pPr>
      <w:r>
        <w:rPr>
          <w:i w:val="false"/>
          <w:iCs w:val="false"/>
          <w:color w:val="000000"/>
          <w:shd w:fill="F8F8FF" w:val="clear"/>
        </w:rPr>
        <w:t>Os atestados de capacidade técnica poderão ser apresentados em nome da matriz ou da filial do fornecedor.</w:t>
      </w:r>
    </w:p>
    <w:p>
      <w:pPr>
        <w:pStyle w:val="Nvel3R"/>
        <w:numPr>
          <w:ilvl w:val="2"/>
          <w:numId w:val="344"/>
        </w:numPr>
        <w:ind w:left="284" w:hanging="0"/>
        <w:rPr>
          <w:i w:val="false"/>
          <w:i w:val="false"/>
          <w:iCs w:val="false"/>
          <w:color w:val="000000"/>
          <w:shd w:fill="F8F8FF" w:val="clear"/>
        </w:rPr>
      </w:pPr>
      <w:r>
        <w:rPr>
          <w:i w:val="false"/>
          <w:iCs w:val="false"/>
          <w:color w:val="000000"/>
          <w:shd w:fill="F8F8FF" w:val="clear"/>
        </w:rPr>
        <w:t>O fornecedor disponibilizará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p>
      <w:pPr>
        <w:pStyle w:val="Nivel2"/>
        <w:numPr>
          <w:ilvl w:val="1"/>
          <w:numId w:val="345"/>
        </w:numPr>
        <w:ind w:left="0" w:right="0" w:hanging="0"/>
        <w:rPr/>
      </w:pPr>
      <w:r>
        <w:rPr/>
        <w:t>Caso admitida a participação de cooperativas, será exigida a seguinte documentação complementar:</w:t>
      </w:r>
    </w:p>
    <w:p>
      <w:pPr>
        <w:pStyle w:val="Nivel3"/>
        <w:numPr>
          <w:ilvl w:val="2"/>
          <w:numId w:val="346"/>
        </w:numPr>
        <w:ind w:left="284" w:hanging="0"/>
        <w:rPr/>
      </w:pPr>
      <w:r>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r>
        <w:fldChar w:fldCharType="begin"/>
      </w:r>
      <w:r>
        <w:rPr>
          <w:rStyle w:val="LinkdaInternet"/>
        </w:rPr>
        <w:instrText> HYPERLINK "https://www.planalto.gov.br/ccivil_03/leis/l5764.htm" \l "art4"</w:instrText>
      </w:r>
      <w:r>
        <w:rPr>
          <w:rStyle w:val="LinkdaInternet"/>
        </w:rPr>
        <w:fldChar w:fldCharType="separate"/>
      </w:r>
      <w:r>
        <w:rPr>
          <w:rStyle w:val="LinkdaInternet"/>
        </w:rPr>
        <w:t>arts. 4º, inciso XI, 21, inciso I</w:t>
      </w:r>
      <w:r>
        <w:rPr>
          <w:rStyle w:val="LinkdaInternet"/>
        </w:rPr>
        <w:fldChar w:fldCharType="end"/>
      </w:r>
      <w:r>
        <w:rPr/>
        <w:t xml:space="preserve"> e </w:t>
      </w:r>
      <w:r>
        <w:fldChar w:fldCharType="begin"/>
      </w:r>
      <w:r>
        <w:rPr>
          <w:rStyle w:val="LinkdaInternet"/>
        </w:rPr>
        <w:instrText> HYPERLINK "https://www.planalto.gov.br/ccivil_03/leis/l5764.htm" \l "art42"</w:instrText>
      </w:r>
      <w:r>
        <w:rPr>
          <w:rStyle w:val="LinkdaInternet"/>
        </w:rPr>
        <w:fldChar w:fldCharType="separate"/>
      </w:r>
      <w:r>
        <w:rPr>
          <w:rStyle w:val="LinkdaInternet"/>
        </w:rPr>
        <w:t>42, §§2º a 6º da Lei n. 5.764, de 1971</w:t>
      </w:r>
      <w:r>
        <w:rPr>
          <w:rStyle w:val="LinkdaInternet"/>
        </w:rPr>
        <w:fldChar w:fldCharType="end"/>
      </w:r>
      <w:r>
        <w:rPr/>
        <w:t>;</w:t>
      </w:r>
    </w:p>
    <w:p>
      <w:pPr>
        <w:pStyle w:val="Nivel3"/>
        <w:numPr>
          <w:ilvl w:val="2"/>
          <w:numId w:val="347"/>
        </w:numPr>
        <w:ind w:left="284" w:hanging="0"/>
        <w:rPr/>
      </w:pPr>
      <w:r>
        <w:rPr/>
        <w:t>A declaração de regularidade de situação do contribuinte individual – DRSCI, para cada um dos cooperados indicados;</w:t>
      </w:r>
    </w:p>
    <w:p>
      <w:pPr>
        <w:pStyle w:val="Nivel3"/>
        <w:numPr>
          <w:ilvl w:val="2"/>
          <w:numId w:val="348"/>
        </w:numPr>
        <w:ind w:left="284" w:hanging="0"/>
        <w:rPr/>
      </w:pPr>
      <w:r>
        <w:rPr/>
        <w:t xml:space="preserve">A comprovação do capital social proporcional ao número de cooperados necessários à execução contratual; </w:t>
      </w:r>
    </w:p>
    <w:p>
      <w:pPr>
        <w:pStyle w:val="Nivel3"/>
        <w:numPr>
          <w:ilvl w:val="2"/>
          <w:numId w:val="349"/>
        </w:numPr>
        <w:ind w:left="284" w:hanging="0"/>
        <w:rPr/>
      </w:pPr>
      <w:r>
        <w:rPr/>
        <w:t xml:space="preserve">O registro previsto na </w:t>
      </w:r>
      <w:r>
        <w:fldChar w:fldCharType="begin"/>
      </w:r>
      <w:r>
        <w:rPr>
          <w:rStyle w:val="LinkdaInternet"/>
        </w:rPr>
        <w:instrText> HYPERLINK "https://www.planalto.gov.br/ccivil_03/leis/l5764.htm" \l "art107"</w:instrText>
      </w:r>
      <w:r>
        <w:rPr>
          <w:rStyle w:val="LinkdaInternet"/>
        </w:rPr>
        <w:fldChar w:fldCharType="separate"/>
      </w:r>
      <w:r>
        <w:rPr>
          <w:rStyle w:val="LinkdaInternet"/>
        </w:rPr>
        <w:t>Lei n. 5.764, de 1971, art. 107</w:t>
      </w:r>
      <w:r>
        <w:rPr>
          <w:rStyle w:val="LinkdaInternet"/>
        </w:rPr>
        <w:fldChar w:fldCharType="end"/>
      </w:r>
      <w:r>
        <w:rPr/>
        <w:t>;</w:t>
      </w:r>
    </w:p>
    <w:p>
      <w:pPr>
        <w:pStyle w:val="Nivel3"/>
        <w:numPr>
          <w:ilvl w:val="2"/>
          <w:numId w:val="350"/>
        </w:numPr>
        <w:ind w:left="284" w:hanging="0"/>
        <w:rPr/>
      </w:pPr>
      <w:r>
        <w:rPr/>
        <w:t xml:space="preserve"> </w:t>
      </w:r>
      <w:r>
        <w:rPr/>
        <w:t>A comprovação de integração das respectivas quotas-partes por parte dos cooperados que executarão o contrato; e</w:t>
      </w:r>
    </w:p>
    <w:p>
      <w:pPr>
        <w:pStyle w:val="Nivel3"/>
        <w:numPr>
          <w:ilvl w:val="2"/>
          <w:numId w:val="351"/>
        </w:numPr>
        <w:ind w:left="284" w:hanging="0"/>
        <w:rPr/>
      </w:pPr>
      <w:r>
        <w:rPr/>
        <w:t xml:space="preserve"> </w:t>
      </w:r>
      <w:r>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pPr>
        <w:pStyle w:val="Nivel3"/>
        <w:numPr>
          <w:ilvl w:val="2"/>
          <w:numId w:val="352"/>
        </w:numPr>
        <w:ind w:left="284" w:hanging="0"/>
        <w:rPr/>
      </w:pPr>
      <w:r>
        <w:rPr/>
        <w:t xml:space="preserve">A última auditoria contábil-financeira da cooperativa, conforme dispõe o </w:t>
      </w:r>
      <w:r>
        <w:fldChar w:fldCharType="begin"/>
      </w:r>
      <w:r>
        <w:rPr>
          <w:rStyle w:val="LinkdaInternet"/>
        </w:rPr>
        <w:instrText> HYPERLINK "https://www.planalto.gov.br/ccivil_03/leis/l5764.htm" \l "art112"</w:instrText>
      </w:r>
      <w:r>
        <w:rPr>
          <w:rStyle w:val="LinkdaInternet"/>
        </w:rPr>
        <w:fldChar w:fldCharType="separate"/>
      </w:r>
      <w:r>
        <w:rPr>
          <w:rStyle w:val="LinkdaInternet"/>
        </w:rPr>
        <w:t>art. 112 da Lei n. 5.764, de 1971</w:t>
      </w:r>
      <w:r>
        <w:rPr>
          <w:rStyle w:val="LinkdaInternet"/>
        </w:rPr>
        <w:fldChar w:fldCharType="end"/>
      </w:r>
      <w:r>
        <w:rPr/>
        <w:t>, ou uma declaração, sob as penas da lei, de que tal auditoria não foi exigida pelo órgão fiscalizador.</w:t>
      </w:r>
    </w:p>
    <w:p>
      <w:pPr>
        <w:pStyle w:val="Nivel01"/>
        <w:numPr>
          <w:ilvl w:val="0"/>
          <w:numId w:val="4"/>
        </w:numPr>
        <w:ind w:left="0" w:hanging="0"/>
        <w:rPr/>
      </w:pPr>
      <w:r>
        <w:rPr/>
        <w:t>ESTIMATIVAS DO VALOR DA CONTRATAÇÃO</w:t>
      </w:r>
    </w:p>
    <w:p>
      <w:pPr>
        <w:pStyle w:val="Nvel2Red"/>
        <w:numPr>
          <w:ilvl w:val="1"/>
          <w:numId w:val="353"/>
        </w:numPr>
        <w:ind w:left="0" w:right="0" w:hanging="0"/>
        <w:rPr/>
      </w:pPr>
      <w:r>
        <w:rPr>
          <w:i w:val="false"/>
          <w:iCs w:val="false"/>
          <w:color w:val="000000"/>
          <w:sz w:val="20"/>
          <w:szCs w:val="20"/>
        </w:rPr>
        <w:t xml:space="preserve">O custo estimado total da contratação é de </w:t>
      </w:r>
      <w:r>
        <w:rPr>
          <w:b/>
          <w:bCs/>
          <w:i w:val="false"/>
          <w:iCs w:val="false"/>
          <w:color w:val="000000"/>
          <w:sz w:val="20"/>
          <w:szCs w:val="20"/>
        </w:rPr>
        <w:t>R$ 16.073.788,00 (Dezesseis milhões, setenta e três mil, setecentos e oitenta e oito reais).</w:t>
      </w:r>
    </w:p>
    <w:p>
      <w:pPr>
        <w:pStyle w:val="Nivel01"/>
        <w:numPr>
          <w:ilvl w:val="0"/>
          <w:numId w:val="4"/>
        </w:numPr>
        <w:ind w:left="0" w:hanging="0"/>
        <w:rPr/>
      </w:pPr>
      <w:r>
        <w:rPr/>
        <w:t>ADEQUAÇÃO ORÇAMENTÁRIA</w:t>
      </w:r>
    </w:p>
    <w:p>
      <w:pPr>
        <w:pStyle w:val="Nivel2"/>
        <w:numPr>
          <w:ilvl w:val="1"/>
          <w:numId w:val="354"/>
        </w:numPr>
        <w:ind w:left="0" w:right="0" w:hanging="0"/>
        <w:rPr/>
      </w:pPr>
      <w:r>
        <w:rPr/>
        <w:t>As despesas decorrentes da presente contratação correrão à conta de recursos específicos consignados no Orçamento Geral da União.</w:t>
      </w:r>
    </w:p>
    <w:p>
      <w:pPr>
        <w:pStyle w:val="Nivel2"/>
        <w:numPr>
          <w:ilvl w:val="1"/>
          <w:numId w:val="355"/>
        </w:numPr>
        <w:ind w:left="0" w:right="0" w:hanging="0"/>
        <w:rPr/>
      </w:pPr>
      <w:r>
        <w:rPr/>
        <w:t>A contratação será atendida pela seguinte dotação:</w:t>
      </w:r>
    </w:p>
    <w:p>
      <w:pPr>
        <w:pStyle w:val="ListParagraph"/>
        <w:numPr>
          <w:ilvl w:val="0"/>
          <w:numId w:val="5"/>
        </w:numPr>
        <w:spacing w:lineRule="auto" w:line="276" w:before="120" w:after="120"/>
        <w:ind w:left="284" w:hanging="0"/>
        <w:contextualSpacing/>
        <w:jc w:val="both"/>
        <w:rPr>
          <w:rFonts w:ascii="Arial" w:hAnsi="Arial" w:eastAsia="Arial" w:cs="Arial"/>
          <w:sz w:val="20"/>
          <w:szCs w:val="20"/>
        </w:rPr>
      </w:pPr>
      <w:r>
        <w:rPr>
          <w:rFonts w:eastAsia="Arial" w:cs="Arial" w:ascii="Arial" w:hAnsi="Arial"/>
          <w:sz w:val="20"/>
          <w:szCs w:val="20"/>
        </w:rPr>
        <w:t xml:space="preserve">        </w:t>
      </w:r>
      <w:r>
        <w:rPr>
          <w:rFonts w:eastAsia="Arial" w:cs="Arial" w:ascii="Arial" w:hAnsi="Arial"/>
          <w:sz w:val="20"/>
          <w:szCs w:val="20"/>
        </w:rPr>
        <w:t>Gestão/Unidade: 00001/160504;</w:t>
      </w:r>
    </w:p>
    <w:p>
      <w:pPr>
        <w:pStyle w:val="ListParagraph"/>
        <w:numPr>
          <w:ilvl w:val="0"/>
          <w:numId w:val="5"/>
        </w:numPr>
        <w:spacing w:lineRule="auto" w:line="276" w:before="120" w:after="120"/>
        <w:ind w:left="284" w:hanging="0"/>
        <w:contextualSpacing/>
        <w:jc w:val="both"/>
        <w:rPr>
          <w:rFonts w:ascii="Arial" w:hAnsi="Arial" w:eastAsia="Arial" w:cs="Arial"/>
          <w:sz w:val="20"/>
          <w:szCs w:val="20"/>
        </w:rPr>
      </w:pPr>
      <w:r>
        <w:rPr>
          <w:rFonts w:eastAsia="Arial" w:cs="Arial" w:ascii="Arial" w:hAnsi="Arial"/>
          <w:sz w:val="20"/>
          <w:szCs w:val="20"/>
        </w:rPr>
        <w:t xml:space="preserve">Fonte de Recursos: </w:t>
      </w:r>
      <w:r>
        <w:rPr>
          <w:rFonts w:eastAsia="Arial" w:cs="Arial" w:ascii="Arial" w:hAnsi="Arial"/>
          <w:color w:val="auto"/>
          <w:kern w:val="0"/>
          <w:sz w:val="20"/>
          <w:szCs w:val="20"/>
          <w:lang w:val="pt-BR" w:eastAsia="pt-BR" w:bidi="ar-SA"/>
        </w:rPr>
        <w:t>1000000000</w:t>
      </w:r>
      <w:r>
        <w:rPr>
          <w:rFonts w:eastAsia="Arial" w:cs="Arial" w:ascii="Arial" w:hAnsi="Arial"/>
          <w:sz w:val="20"/>
          <w:szCs w:val="20"/>
        </w:rPr>
        <w:t>;</w:t>
      </w:r>
    </w:p>
    <w:p>
      <w:pPr>
        <w:pStyle w:val="ListParagraph"/>
        <w:numPr>
          <w:ilvl w:val="0"/>
          <w:numId w:val="5"/>
        </w:numPr>
        <w:spacing w:lineRule="auto" w:line="276" w:before="120" w:after="120"/>
        <w:ind w:left="284" w:hanging="0"/>
        <w:contextualSpacing/>
        <w:jc w:val="both"/>
        <w:rPr>
          <w:rFonts w:ascii="Arial" w:hAnsi="Arial" w:eastAsia="Arial" w:cs="Arial"/>
          <w:sz w:val="20"/>
          <w:szCs w:val="20"/>
        </w:rPr>
      </w:pPr>
      <w:r>
        <w:rPr>
          <w:rFonts w:eastAsia="Arial" w:cs="Arial" w:ascii="Arial" w:hAnsi="Arial"/>
          <w:sz w:val="20"/>
          <w:szCs w:val="20"/>
        </w:rPr>
        <w:t>Programa de Trabalho: 174399;</w:t>
      </w:r>
    </w:p>
    <w:p>
      <w:pPr>
        <w:pStyle w:val="ListParagraph"/>
        <w:numPr>
          <w:ilvl w:val="0"/>
          <w:numId w:val="5"/>
        </w:numPr>
        <w:spacing w:lineRule="auto" w:line="276" w:before="120" w:after="120"/>
        <w:ind w:left="284" w:hanging="0"/>
        <w:contextualSpacing/>
        <w:jc w:val="both"/>
        <w:rPr>
          <w:rFonts w:ascii="Arial" w:hAnsi="Arial" w:eastAsia="Arial" w:cs="Arial"/>
          <w:sz w:val="20"/>
          <w:szCs w:val="20"/>
        </w:rPr>
      </w:pPr>
      <w:r>
        <w:rPr>
          <w:rFonts w:eastAsia="Arial" w:cs="Arial" w:ascii="Arial" w:hAnsi="Arial"/>
          <w:sz w:val="20"/>
          <w:szCs w:val="20"/>
        </w:rPr>
        <w:t xml:space="preserve">Elemento de Despesa: </w:t>
      </w:r>
      <w:r>
        <w:rPr>
          <w:rFonts w:eastAsia="Arial" w:cs="Arial" w:ascii="Arial" w:hAnsi="Arial"/>
          <w:color w:val="auto"/>
          <w:kern w:val="0"/>
          <w:sz w:val="20"/>
          <w:szCs w:val="20"/>
          <w:lang w:val="pt-BR" w:eastAsia="pt-BR" w:bidi="ar-SA"/>
        </w:rPr>
        <w:t>339030</w:t>
      </w:r>
      <w:r>
        <w:rPr>
          <w:rFonts w:eastAsia="Arial" w:cs="Arial" w:ascii="Arial" w:hAnsi="Arial"/>
          <w:sz w:val="20"/>
          <w:szCs w:val="20"/>
        </w:rPr>
        <w:t>;</w:t>
      </w:r>
    </w:p>
    <w:p>
      <w:pPr>
        <w:pStyle w:val="ListParagraph"/>
        <w:numPr>
          <w:ilvl w:val="0"/>
          <w:numId w:val="5"/>
        </w:numPr>
        <w:spacing w:lineRule="auto" w:line="276" w:before="120" w:after="120"/>
        <w:ind w:left="284" w:hanging="0"/>
        <w:contextualSpacing/>
        <w:jc w:val="both"/>
        <w:rPr>
          <w:rFonts w:eastAsia="MS Mincho"/>
        </w:rPr>
      </w:pPr>
      <w:r>
        <w:rPr>
          <w:rFonts w:eastAsia="Arial" w:cs="Arial" w:ascii="Arial" w:hAnsi="Arial"/>
          <w:sz w:val="20"/>
          <w:szCs w:val="20"/>
        </w:rPr>
        <w:t xml:space="preserve">Plano Interno: </w:t>
      </w:r>
      <w:r>
        <w:rPr>
          <w:rFonts w:eastAsia="Arial" w:cs="Arial" w:ascii="Arial" w:hAnsi="Arial"/>
          <w:color w:val="auto"/>
          <w:kern w:val="0"/>
          <w:sz w:val="20"/>
          <w:szCs w:val="20"/>
          <w:lang w:val="pt-BR" w:eastAsia="pt-BR" w:bidi="ar-SA"/>
        </w:rPr>
        <w:t>DF0000HSOM4</w:t>
      </w:r>
      <w:r>
        <w:rPr>
          <w:rFonts w:eastAsia="Arial" w:cs="Arial" w:ascii="Arial" w:hAnsi="Arial"/>
          <w:sz w:val="20"/>
          <w:szCs w:val="20"/>
        </w:rPr>
        <w:t>;</w:t>
      </w:r>
    </w:p>
    <w:p>
      <w:pPr>
        <w:pStyle w:val="Nvel2Red"/>
        <w:numPr>
          <w:ilvl w:val="1"/>
          <w:numId w:val="356"/>
        </w:numPr>
        <w:ind w:left="0" w:right="0" w:hanging="0"/>
        <w:rPr>
          <w:i w:val="false"/>
          <w:i w:val="false"/>
          <w:iCs w:val="false"/>
          <w:color w:val="000000"/>
        </w:rPr>
      </w:pPr>
      <w:r>
        <w:rPr>
          <w:i w:val="false"/>
          <w:iCs w:val="false"/>
          <w:color w:val="000000"/>
        </w:rPr>
        <w:t>A dotação relativa aos exercícios financeiros subsequentes será indicada após aprovação da Lei Orçamentária respectiva e liberação dos créditos correspondentes, mediante apostilamento.</w:t>
      </w:r>
    </w:p>
    <w:p>
      <w:pPr>
        <w:pStyle w:val="Nivel2"/>
        <w:numPr>
          <w:ilvl w:val="0"/>
          <w:numId w:val="0"/>
        </w:numPr>
        <w:ind w:left="0" w:right="0" w:hanging="0"/>
        <w:rPr/>
      </w:pPr>
      <w:r>
        <w:rPr/>
      </w:r>
    </w:p>
    <w:p>
      <w:pPr>
        <w:pStyle w:val="Nivel2"/>
        <w:numPr>
          <w:ilvl w:val="0"/>
          <w:numId w:val="0"/>
        </w:numPr>
        <w:spacing w:lineRule="auto" w:line="312" w:before="0" w:after="117"/>
        <w:ind w:left="0" w:right="0" w:hanging="0"/>
        <w:jc w:val="center"/>
        <w:rPr>
          <w:b w:val="false"/>
          <w:b w:val="false"/>
          <w:bCs w:val="false"/>
        </w:rPr>
      </w:pPr>
      <w:r>
        <w:rPr>
          <w:b w:val="false"/>
          <w:bCs w:val="false"/>
        </w:rPr>
      </w:r>
    </w:p>
    <w:p>
      <w:pPr>
        <w:pStyle w:val="Nivel2"/>
        <w:numPr>
          <w:ilvl w:val="0"/>
          <w:numId w:val="0"/>
        </w:numPr>
        <w:spacing w:lineRule="auto" w:line="312" w:before="0" w:after="117"/>
        <w:ind w:left="0" w:right="0" w:hanging="0"/>
        <w:jc w:val="center"/>
        <w:rPr>
          <w:b w:val="false"/>
          <w:b w:val="false"/>
          <w:bCs w:val="false"/>
        </w:rPr>
      </w:pPr>
      <w:r>
        <w:rPr>
          <w:b w:val="false"/>
          <w:bCs w:val="false"/>
          <w:i w:val="false"/>
          <w:iCs w:val="false"/>
          <w:color w:val="000000"/>
          <w:shd w:fill="auto" w:val="clear"/>
        </w:rPr>
        <w:t xml:space="preserve">Recife/PE, 02 de </w:t>
      </w:r>
      <w:r>
        <w:rPr>
          <w:rFonts w:eastAsia="Arial" w:cs="Arial"/>
          <w:b w:val="false"/>
          <w:bCs w:val="false"/>
          <w:i w:val="false"/>
          <w:iCs w:val="false"/>
          <w:strike w:val="false"/>
          <w:dstrike w:val="false"/>
          <w:color w:val="000000"/>
          <w:kern w:val="0"/>
          <w:sz w:val="20"/>
          <w:szCs w:val="20"/>
          <w:shd w:fill="auto" w:val="clear"/>
          <w:lang w:val="pt-BR" w:eastAsia="pt-BR" w:bidi="ar-SA"/>
        </w:rPr>
        <w:t>abril</w:t>
      </w:r>
      <w:r>
        <w:rPr>
          <w:b w:val="false"/>
          <w:bCs w:val="false"/>
          <w:i w:val="false"/>
          <w:iCs w:val="false"/>
          <w:color w:val="000000"/>
          <w:shd w:fill="auto" w:val="clear"/>
        </w:rPr>
        <w:t xml:space="preserve"> de 2024.</w:t>
      </w:r>
    </w:p>
    <w:p>
      <w:pPr>
        <w:pStyle w:val="Nivel2"/>
        <w:numPr>
          <w:ilvl w:val="0"/>
          <w:numId w:val="0"/>
        </w:numPr>
        <w:ind w:left="0" w:right="0" w:hanging="0"/>
        <w:rPr/>
      </w:pPr>
      <w:r>
        <w:rPr/>
      </w:r>
    </w:p>
    <w:p>
      <w:pPr>
        <w:pStyle w:val="Normal"/>
        <w:spacing w:lineRule="auto" w:line="312" w:before="120" w:after="288"/>
        <w:ind w:left="357" w:hanging="0"/>
        <w:jc w:val="center"/>
        <w:rPr>
          <w:rFonts w:ascii="Arial" w:hAnsi="Arial" w:eastAsia="Arial" w:cs="Arial"/>
          <w:sz w:val="20"/>
          <w:szCs w:val="20"/>
        </w:rPr>
      </w:pPr>
      <w:r>
        <w:rPr>
          <w:rFonts w:eastAsia="Arial" w:cs="Arial" w:ascii="Arial" w:hAnsi="Arial"/>
          <w:sz w:val="20"/>
          <w:szCs w:val="20"/>
        </w:rPr>
      </w:r>
    </w:p>
    <w:p>
      <w:pPr>
        <w:pStyle w:val="Normal"/>
        <w:spacing w:lineRule="auto" w:line="312" w:before="120" w:after="288"/>
        <w:ind w:left="357" w:hanging="0"/>
        <w:jc w:val="center"/>
        <w:rPr>
          <w:rFonts w:ascii="Arial" w:hAnsi="Arial" w:eastAsia="Arial" w:cs="Arial"/>
          <w:sz w:val="20"/>
          <w:szCs w:val="20"/>
        </w:rPr>
      </w:pPr>
      <w:r>
        <w:rPr>
          <w:rFonts w:eastAsia="Arial" w:cs="Arial" w:ascii="Arial" w:hAnsi="Arial"/>
          <w:sz w:val="20"/>
          <w:szCs w:val="20"/>
        </w:rPr>
      </w:r>
    </w:p>
    <w:p>
      <w:pPr>
        <w:pStyle w:val="Normal"/>
        <w:spacing w:lineRule="auto" w:line="312" w:before="0" w:after="0"/>
        <w:ind w:left="357" w:hanging="0"/>
        <w:jc w:val="center"/>
        <w:rPr>
          <w:rFonts w:ascii="Times New Roman" w:hAnsi="Times New Roman"/>
          <w:b/>
          <w:b/>
          <w:bCs/>
        </w:rPr>
      </w:pPr>
      <w:r>
        <w:rPr>
          <w:rFonts w:eastAsia="Arial" w:cs="Arial" w:ascii="Times New Roman" w:hAnsi="Times New Roman"/>
          <w:b/>
          <w:bCs/>
          <w:i w:val="false"/>
          <w:caps w:val="false"/>
          <w:smallCaps w:val="false"/>
          <w:color w:val="212121"/>
          <w:spacing w:val="0"/>
          <w:sz w:val="24"/>
          <w:szCs w:val="20"/>
        </w:rPr>
        <w:t>LUIZ CARLOS FARIAS DA SILVA – 3º SGT</w:t>
      </w:r>
    </w:p>
    <w:p>
      <w:pPr>
        <w:pStyle w:val="Normal"/>
        <w:spacing w:lineRule="auto" w:line="312" w:before="0" w:after="60"/>
        <w:ind w:left="357" w:hanging="0"/>
        <w:jc w:val="center"/>
        <w:rPr>
          <w:rFonts w:ascii="Times New Roman" w:hAnsi="Times New Roman" w:eastAsia="Arial" w:cs="Arial"/>
          <w:b w:val="false"/>
          <w:b w:val="false"/>
          <w:i w:val="false"/>
          <w:i w:val="false"/>
          <w:caps w:val="false"/>
          <w:smallCaps w:val="false"/>
          <w:color w:val="212121"/>
          <w:spacing w:val="0"/>
          <w:kern w:val="0"/>
          <w:sz w:val="24"/>
          <w:szCs w:val="20"/>
          <w:lang w:val="pt-BR" w:eastAsia="pt-BR" w:bidi="ar-SA"/>
        </w:rPr>
      </w:pPr>
      <w:r>
        <w:rPr>
          <w:rFonts w:eastAsia="Arial" w:cs="Times New Roman" w:ascii="Times New Roman" w:hAnsi="Times New Roman"/>
          <w:b w:val="false"/>
          <w:bCs w:val="false"/>
          <w:i w:val="false"/>
          <w:iCs w:val="false"/>
          <w:caps w:val="false"/>
          <w:smallCaps w:val="false"/>
          <w:strike w:val="false"/>
          <w:dstrike w:val="false"/>
          <w:outline w:val="false"/>
          <w:shadow w:val="false"/>
          <w:color w:val="212121"/>
          <w:spacing w:val="0"/>
          <w:kern w:val="0"/>
          <w:sz w:val="24"/>
          <w:szCs w:val="24"/>
          <w:u w:val="none"/>
          <w:em w:val="none"/>
          <w:lang w:val="pt-BR" w:eastAsia="pt-BR" w:bidi="ar-SA"/>
        </w:rPr>
        <w:t xml:space="preserve">Aux. da Seção de Suprimento / </w:t>
      </w:r>
      <w:r>
        <w:rPr>
          <w:rFonts w:eastAsia="Arial" w:cs="Arial" w:ascii="Times New Roman" w:hAnsi="Times New Roman"/>
          <w:b w:val="false"/>
          <w:i w:val="false"/>
          <w:caps w:val="false"/>
          <w:smallCaps w:val="false"/>
          <w:color w:val="212121"/>
          <w:spacing w:val="0"/>
          <w:kern w:val="0"/>
          <w:sz w:val="24"/>
          <w:szCs w:val="20"/>
          <w:lang w:val="pt-BR" w:eastAsia="pt-BR" w:bidi="ar-SA"/>
        </w:rPr>
        <w:t>Membro da Equipe de Planejamento</w:t>
      </w:r>
    </w:p>
    <w:sectPr>
      <w:headerReference w:type="default" r:id="rId10"/>
      <w:footerReference w:type="default" r:id="rId11"/>
      <w:type w:val="nextPage"/>
      <w:pgSz w:w="11906" w:h="16838"/>
      <w:pgMar w:left="1134" w:right="1134" w:header="709" w:top="1418" w:footer="709" w:bottom="1418"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Ecofont_Spranq_eco_Sans">
    <w:charset w:val="00"/>
    <w:family w:val="roman"/>
    <w:pitch w:val="variable"/>
  </w:font>
  <w:font w:name="Calibri">
    <w:charset w:val="00"/>
    <w:family w:val="roman"/>
    <w:pitch w:val="variable"/>
  </w:font>
  <w:font w:name="Tahoma">
    <w:charset w:val="00"/>
    <w:family w:val="roman"/>
    <w:pitch w:val="variable"/>
  </w:font>
  <w:font w:name="Arial">
    <w:charset w:val="00"/>
    <w:family w:val="roman"/>
    <w:pitch w:val="variable"/>
  </w:font>
  <w:font w:name="Liberation Sans">
    <w:altName w:val="Arial"/>
    <w:charset w:val="00"/>
    <w:family w:val="roman"/>
    <w:pitch w:val="variable"/>
  </w:font>
  <w:font w:name="Rawline">
    <w:charset w:val="00"/>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630396255"/>
    </w:sdtPr>
    <w:sdtContent>
      <w:p>
        <w:pPr>
          <w:pStyle w:val="Rodap"/>
          <w:rPr>
            <w:color w:val="548DD4" w:themeColor="text2" w:themeTint="99"/>
            <w:spacing w:val="60"/>
            <w:sz w:val="16"/>
            <w:szCs w:val="16"/>
          </w:rPr>
        </w:pPr>
        <w:r>
          <w:rPr>
            <w:color w:val="548DD4" w:themeColor="text2" w:themeTint="99"/>
            <w:spacing w:val="60"/>
            <w:sz w:val="22"/>
            <w:szCs w:val="22"/>
          </w:rPr>
          <w:tab/>
          <w:tab/>
        </w:r>
      </w:p>
      <w:p>
        <w:pPr>
          <w:pStyle w:val="Rodap"/>
          <w:rPr>
            <w:rFonts w:ascii="Arial" w:hAnsi="Arial" w:cs="Arial"/>
            <w:color w:val="7F7F7F" w:themeColor="text1" w:themeTint="80"/>
            <w:sz w:val="12"/>
          </w:rPr>
        </w:pPr>
        <w:r>
          <w:rPr>
            <w:color w:val="7F7F7F" w:themeColor="text1" w:themeTint="80"/>
            <w:spacing w:val="60"/>
            <w:sz w:val="22"/>
            <w:szCs w:val="22"/>
          </w:rPr>
          <w:tab/>
          <w:tab/>
        </w:r>
        <w:r>
          <w:rPr>
            <w:color w:val="595959" w:themeColor="text1" w:themeTint="a6"/>
            <w:spacing w:val="60"/>
            <w:sz w:val="22"/>
            <w:szCs w:val="22"/>
          </w:rPr>
          <w:t>Página</w:t>
        </w:r>
        <w:r>
          <w:rPr>
            <w:color w:val="595959" w:themeColor="text1" w:themeTint="a6"/>
            <w:sz w:val="22"/>
            <w:szCs w:val="22"/>
          </w:rPr>
          <w:t xml:space="preserve"> </w:t>
        </w:r>
        <w:r>
          <w:rPr>
            <w:color w:val="595959"/>
            <w:sz w:val="22"/>
            <w:szCs w:val="22"/>
            <w:shd w:fill="E6E6E6" w:val="clear"/>
          </w:rPr>
          <w:fldChar w:fldCharType="begin"/>
        </w:r>
        <w:r>
          <w:rPr>
            <w:sz w:val="22"/>
            <w:shd w:fill="E6E6E6" w:val="clear"/>
            <w:szCs w:val="22"/>
            <w:color w:val="595959"/>
          </w:rPr>
          <w:instrText> PAGE </w:instrText>
        </w:r>
        <w:r>
          <w:rPr>
            <w:sz w:val="22"/>
            <w:shd w:fill="E6E6E6" w:val="clear"/>
            <w:szCs w:val="22"/>
            <w:color w:val="595959"/>
          </w:rPr>
          <w:fldChar w:fldCharType="separate"/>
        </w:r>
        <w:r>
          <w:rPr>
            <w:sz w:val="22"/>
            <w:shd w:fill="E6E6E6" w:val="clear"/>
            <w:szCs w:val="22"/>
            <w:color w:val="595959"/>
          </w:rPr>
          <w:t>32</w:t>
        </w:r>
        <w:r>
          <w:rPr>
            <w:sz w:val="22"/>
            <w:shd w:fill="E6E6E6" w:val="clear"/>
            <w:szCs w:val="22"/>
            <w:color w:val="595959"/>
          </w:rPr>
          <w:fldChar w:fldCharType="end"/>
        </w:r>
        <w:r>
          <w:rPr>
            <w:color w:val="595959" w:themeColor="text1" w:themeTint="a6"/>
            <w:sz w:val="22"/>
            <w:szCs w:val="22"/>
          </w:rPr>
          <w:t xml:space="preserve"> | </w:t>
        </w:r>
        <w:r>
          <w:rPr>
            <w:color w:val="595959"/>
            <w:sz w:val="22"/>
            <w:szCs w:val="22"/>
            <w:shd w:fill="E6E6E6" w:val="clear"/>
          </w:rPr>
          <w:fldChar w:fldCharType="begin"/>
        </w:r>
        <w:r>
          <w:rPr>
            <w:sz w:val="22"/>
            <w:shd w:fill="E6E6E6" w:val="clear"/>
            <w:szCs w:val="22"/>
            <w:color w:val="595959"/>
          </w:rPr>
          <w:instrText> NUMPAGES </w:instrText>
        </w:r>
        <w:r>
          <w:rPr>
            <w:sz w:val="22"/>
            <w:shd w:fill="E6E6E6" w:val="clear"/>
            <w:szCs w:val="22"/>
            <w:color w:val="595959"/>
          </w:rPr>
          <w:fldChar w:fldCharType="separate"/>
        </w:r>
        <w:r>
          <w:rPr>
            <w:sz w:val="22"/>
            <w:shd w:fill="E6E6E6" w:val="clear"/>
            <w:szCs w:val="22"/>
            <w:color w:val="595959"/>
          </w:rPr>
          <w:t>32</w:t>
        </w:r>
        <w:r>
          <w:rPr>
            <w:sz w:val="22"/>
            <w:shd w:fill="E6E6E6" w:val="clear"/>
            <w:szCs w:val="22"/>
            <w:color w:val="595959"/>
          </w:rPr>
          <w:fldChar w:fldCharType="end"/>
        </w:r>
      </w:p>
      <w:p>
        <w:pPr>
          <w:pStyle w:val="Rodap"/>
          <w:rPr>
            <w:rFonts w:ascii="Rawline" w:hAnsi="Rawline" w:cs="Arial"/>
            <w:sz w:val="12"/>
          </w:rPr>
        </w:pPr>
        <w:r>
          <w:rPr>
            <w:rFonts w:cs="Arial" w:ascii="Rawline" w:hAnsi="Rawline"/>
            <w:sz w:val="12"/>
          </w:rPr>
          <w:t>Câmara Nacional de Modelos de Licitações e Contratos da Consultoria-Geral da União</w:t>
        </w:r>
      </w:p>
      <w:p>
        <w:pPr>
          <w:pStyle w:val="Rodap"/>
          <w:rPr>
            <w:rFonts w:ascii="Rawline" w:hAnsi="Rawline" w:cs="Arial"/>
            <w:sz w:val="12"/>
          </w:rPr>
        </w:pPr>
        <w:r>
          <w:rPr>
            <w:rFonts w:cs="Arial" w:ascii="Rawline" w:hAnsi="Rawline"/>
            <w:sz w:val="12"/>
          </w:rPr>
          <w:t>Atualização: dezembro/2023</w:t>
        </w:r>
      </w:p>
      <w:p>
        <w:pPr>
          <w:pStyle w:val="Rodap"/>
          <w:rPr>
            <w:rFonts w:ascii="Rawline" w:hAnsi="Rawline"/>
            <w:color w:val="0F243E" w:themeColor="text2" w:themeShade="80"/>
            <w:sz w:val="22"/>
            <w:szCs w:val="22"/>
          </w:rPr>
        </w:pPr>
        <w:r>
          <w:rPr>
            <w:rFonts w:cs="Arial" w:ascii="Rawline" w:hAnsi="Rawline"/>
            <w:sz w:val="12"/>
            <w:szCs w:val="12"/>
          </w:rPr>
          <w:t>Termo de Referência Aquisições – Licitação - Modelo para Pregão Eletrônico</w:t>
          <w:tab/>
          <w:tab/>
        </w:r>
      </w:p>
      <w:p>
        <w:pPr>
          <w:pStyle w:val="Rodap"/>
          <w:rPr>
            <w:rFonts w:ascii="Rawline" w:hAnsi="Rawline"/>
            <w:sz w:val="12"/>
            <w:szCs w:val="12"/>
          </w:rPr>
        </w:pPr>
        <w:r>
          <w:rPr>
            <w:rFonts w:ascii="Rawline" w:hAnsi="Rawline"/>
            <w:sz w:val="12"/>
            <w:szCs w:val="12"/>
          </w:rPr>
          <w:t>Aprovado pela Secretaria de Gestão.</w:t>
        </w:r>
      </w:p>
      <w:p>
        <w:pPr>
          <w:pStyle w:val="Rodap"/>
          <w:rPr>
            <w:rFonts w:ascii="Rawline" w:hAnsi="Rawline"/>
          </w:rPr>
        </w:pPr>
        <w:r>
          <w:rPr>
            <w:rFonts w:ascii="Rawline" w:hAnsi="Rawline"/>
            <w:sz w:val="12"/>
            <w:szCs w:val="12"/>
          </w:rPr>
          <w:t>Identidade visual pela Secretaria de Gestão (versão dezembro/2022)</w:t>
        </w:r>
      </w:p>
    </w:sdtContent>
  </w:sdt>
  <w:p>
    <w:pPr>
      <w:pStyle w:val="Rodap"/>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jc w:val="right"/>
      <w:rPr>
        <w:rFonts w:ascii="Arial" w:hAnsi="Arial" w:cs="Arial"/>
        <w:sz w:val="20"/>
        <w:szCs w:val="20"/>
      </w:rPr>
    </w:pPr>
    <w:r>
      <w:rPr>
        <w:rFonts w:cs="Arial" w:ascii="Arial" w:hAnsi="Arial"/>
        <w:sz w:val="20"/>
        <w:szCs w:val="20"/>
      </w:rPr>
      <w:t>TERMO DE REFERÊNCIA - AQUISIÇÕES - LICITAÇÃO</w:t>
    </w:r>
  </w:p>
  <w:p>
    <w:pPr>
      <w:pStyle w:val="Cabealho"/>
      <w:jc w:val="right"/>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decimal"/>
      <w:lvlText w:val="%1."/>
      <w:lvlJc w:val="left"/>
      <w:pPr>
        <w:tabs>
          <w:tab w:val="num" w:pos="0"/>
        </w:tabs>
        <w:ind w:left="360" w:hanging="360"/>
      </w:pPr>
      <w:rPr>
        <w:sz w:val="20"/>
        <w:b/>
        <w:rFonts w:ascii="Arial" w:hAnsi="Arial"/>
      </w:rPr>
    </w:lvl>
    <w:lvl w:ilvl="1">
      <w:start w:val="1"/>
      <w:numFmt w:val="decimal"/>
      <w:lvlText w:val="%1.%2."/>
      <w:lvlJc w:val="left"/>
      <w:pPr>
        <w:tabs>
          <w:tab w:val="num" w:pos="0"/>
        </w:tabs>
        <w:ind w:left="999" w:hanging="432"/>
      </w:pPr>
      <w:rPr>
        <w:dstrike w:val="false"/>
        <w:strike w:val="false"/>
        <w:sz w:val="20"/>
        <w:i w:val="false"/>
        <w:u w:val="none"/>
        <w:b/>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lvl w:ilvl="0">
      <w:start w:val="1"/>
      <w:numFmt w:val="upperRoman"/>
      <w:lvlText w:val="%1)"/>
      <w:lvlJc w:val="left"/>
      <w:pPr>
        <w:tabs>
          <w:tab w:val="num" w:pos="0"/>
        </w:tabs>
        <w:ind w:left="2136" w:hanging="720"/>
      </w:pPr>
    </w:lvl>
    <w:lvl w:ilvl="1">
      <w:start w:val="1"/>
      <w:numFmt w:val="lowerLetter"/>
      <w:lvlText w:val="%2."/>
      <w:lvlJc w:val="left"/>
      <w:pPr>
        <w:tabs>
          <w:tab w:val="num" w:pos="0"/>
        </w:tabs>
        <w:ind w:left="2496" w:hanging="360"/>
      </w:pPr>
    </w:lvl>
    <w:lvl w:ilvl="2">
      <w:start w:val="1"/>
      <w:numFmt w:val="lowerRoman"/>
      <w:lvlText w:val="%3."/>
      <w:lvlJc w:val="right"/>
      <w:pPr>
        <w:tabs>
          <w:tab w:val="num" w:pos="0"/>
        </w:tabs>
        <w:ind w:left="3216" w:hanging="180"/>
      </w:pPr>
    </w:lvl>
    <w:lvl w:ilvl="3">
      <w:start w:val="1"/>
      <w:numFmt w:val="decimal"/>
      <w:lvlText w:val="%4."/>
      <w:lvlJc w:val="left"/>
      <w:pPr>
        <w:tabs>
          <w:tab w:val="num" w:pos="0"/>
        </w:tabs>
        <w:ind w:left="3936" w:hanging="360"/>
      </w:pPr>
    </w:lvl>
    <w:lvl w:ilvl="4">
      <w:start w:val="1"/>
      <w:numFmt w:val="lowerLetter"/>
      <w:lvlText w:val="%5."/>
      <w:lvlJc w:val="left"/>
      <w:pPr>
        <w:tabs>
          <w:tab w:val="num" w:pos="0"/>
        </w:tabs>
        <w:ind w:left="4656" w:hanging="360"/>
      </w:pPr>
    </w:lvl>
    <w:lvl w:ilvl="5">
      <w:start w:val="1"/>
      <w:numFmt w:val="lowerRoman"/>
      <w:lvlText w:val="%6."/>
      <w:lvlJc w:val="right"/>
      <w:pPr>
        <w:tabs>
          <w:tab w:val="num" w:pos="0"/>
        </w:tabs>
        <w:ind w:left="5376" w:hanging="180"/>
      </w:pPr>
    </w:lvl>
    <w:lvl w:ilvl="6">
      <w:start w:val="1"/>
      <w:numFmt w:val="decimal"/>
      <w:lvlText w:val="%7."/>
      <w:lvlJc w:val="left"/>
      <w:pPr>
        <w:tabs>
          <w:tab w:val="num" w:pos="0"/>
        </w:tabs>
        <w:ind w:left="6096" w:hanging="360"/>
      </w:pPr>
    </w:lvl>
    <w:lvl w:ilvl="7">
      <w:start w:val="1"/>
      <w:numFmt w:val="lowerLetter"/>
      <w:lvlText w:val="%8."/>
      <w:lvlJc w:val="left"/>
      <w:pPr>
        <w:tabs>
          <w:tab w:val="num" w:pos="0"/>
        </w:tabs>
        <w:ind w:left="6816" w:hanging="360"/>
      </w:pPr>
    </w:lvl>
    <w:lvl w:ilvl="8">
      <w:start w:val="1"/>
      <w:numFmt w:val="lowerRoman"/>
      <w:lvlText w:val="%9."/>
      <w:lvlJc w:val="right"/>
      <w:pPr>
        <w:tabs>
          <w:tab w:val="num" w:pos="0"/>
        </w:tabs>
        <w:ind w:left="7536" w:hanging="180"/>
      </w:pPr>
    </w:lvl>
  </w:abstractNum>
  <w:abstractNum w:abstractNumId="6">
    <w:lvl w:ilvl="0">
      <w:start w:val="1"/>
      <w:numFmt w:val="upperRoman"/>
      <w:lvlText w:val="%1)"/>
      <w:lvlJc w:val="left"/>
      <w:pPr>
        <w:tabs>
          <w:tab w:val="num" w:pos="0"/>
        </w:tabs>
        <w:ind w:left="1287" w:hanging="72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7">
    <w:lvl w:ilvl="0">
      <w:start w:val="1"/>
      <w:numFmt w:val="decimal"/>
      <w:lvlText w:val="%1."/>
      <w:lvlJc w:val="left"/>
      <w:pPr>
        <w:tabs>
          <w:tab w:val="num" w:pos="0"/>
        </w:tabs>
        <w:ind w:left="360" w:hanging="360"/>
      </w:pPr>
      <w:rPr>
        <w:sz w:val="20"/>
        <w:b w:val="false"/>
        <w:rFonts w:ascii="Arial" w:hAnsi="Arial"/>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150"/>
  </w:num>
  <w:num w:numId="151">
    <w:abstractNumId w:val="151"/>
  </w:num>
  <w:num w:numId="152">
    <w:abstractNumId w:val="152"/>
  </w:num>
  <w:num w:numId="153">
    <w:abstractNumId w:val="153"/>
  </w:num>
  <w:num w:numId="154">
    <w:abstractNumId w:val="154"/>
  </w:num>
  <w:num w:numId="155">
    <w:abstractNumId w:val="155"/>
  </w:num>
  <w:num w:numId="156">
    <w:abstractNumId w:val="156"/>
  </w:num>
  <w:num w:numId="157">
    <w:abstractNumId w:val="157"/>
  </w:num>
  <w:num w:numId="158">
    <w:abstractNumId w:val="158"/>
  </w:num>
  <w:num w:numId="159">
    <w:abstractNumId w:val="159"/>
  </w:num>
  <w:num w:numId="160">
    <w:abstractNumId w:val="160"/>
  </w:num>
  <w:num w:numId="161">
    <w:abstractNumId w:val="161"/>
  </w:num>
  <w:num w:numId="162">
    <w:abstractNumId w:val="162"/>
  </w:num>
  <w:num w:numId="163">
    <w:abstractNumId w:val="163"/>
  </w:num>
  <w:num w:numId="164">
    <w:abstractNumId w:val="164"/>
  </w:num>
  <w:num w:numId="165">
    <w:abstractNumId w:val="165"/>
  </w:num>
  <w:num w:numId="166">
    <w:abstractNumId w:val="166"/>
  </w:num>
  <w:num w:numId="167">
    <w:abstractNumId w:val="167"/>
  </w:num>
  <w:num w:numId="168">
    <w:abstractNumId w:val="168"/>
  </w:num>
  <w:num w:numId="169">
    <w:abstractNumId w:val="169"/>
  </w:num>
  <w:num w:numId="170">
    <w:abstractNumId w:val="170"/>
  </w:num>
  <w:num w:numId="171">
    <w:abstractNumId w:val="171"/>
  </w:num>
  <w:num w:numId="172">
    <w:abstractNumId w:val="172"/>
  </w:num>
  <w:num w:numId="173">
    <w:abstractNumId w:val="173"/>
  </w:num>
  <w:num w:numId="174">
    <w:abstractNumId w:val="174"/>
  </w:num>
  <w:num w:numId="175">
    <w:abstractNumId w:val="175"/>
  </w:num>
  <w:num w:numId="176">
    <w:abstractNumId w:val="176"/>
  </w:num>
  <w:num w:numId="177">
    <w:abstractNumId w:val="177"/>
  </w:num>
  <w:num w:numId="178">
    <w:abstractNumId w:val="178"/>
  </w:num>
  <w:num w:numId="179">
    <w:abstractNumId w:val="179"/>
  </w:num>
  <w:num w:numId="180">
    <w:abstractNumId w:val="180"/>
  </w:num>
  <w:num w:numId="181">
    <w:abstractNumId w:val="181"/>
  </w:num>
  <w:num w:numId="182">
    <w:abstractNumId w:val="182"/>
  </w:num>
  <w:num w:numId="183">
    <w:abstractNumId w:val="4"/>
  </w:num>
  <w:num w:numId="184">
    <w:abstractNumId w:val="4"/>
  </w:num>
  <w:num w:numId="185">
    <w:abstractNumId w:val="4"/>
  </w:num>
  <w:num w:numId="186">
    <w:abstractNumId w:val="4"/>
  </w:num>
  <w:num w:numId="187">
    <w:abstractNumId w:val="4"/>
  </w:num>
  <w:num w:numId="188">
    <w:abstractNumId w:val="4"/>
  </w:num>
  <w:num w:numId="189">
    <w:abstractNumId w:val="4"/>
  </w:num>
  <w:num w:numId="190">
    <w:abstractNumId w:val="4"/>
  </w:num>
  <w:num w:numId="191">
    <w:abstractNumId w:val="4"/>
  </w:num>
  <w:num w:numId="192">
    <w:abstractNumId w:val="4"/>
  </w:num>
  <w:num w:numId="193">
    <w:abstractNumId w:val="4"/>
  </w:num>
  <w:num w:numId="194">
    <w:abstractNumId w:val="4"/>
  </w:num>
  <w:num w:numId="195">
    <w:abstractNumId w:val="4"/>
  </w:num>
  <w:num w:numId="196">
    <w:abstractNumId w:val="4"/>
  </w:num>
  <w:num w:numId="197">
    <w:abstractNumId w:val="4"/>
  </w:num>
  <w:num w:numId="198">
    <w:abstractNumId w:val="4"/>
  </w:num>
  <w:num w:numId="199">
    <w:abstractNumId w:val="4"/>
  </w:num>
  <w:num w:numId="200">
    <w:abstractNumId w:val="4"/>
  </w:num>
  <w:num w:numId="201">
    <w:abstractNumId w:val="4"/>
  </w:num>
  <w:num w:numId="202">
    <w:abstractNumId w:val="4"/>
  </w:num>
  <w:num w:numId="203">
    <w:abstractNumId w:val="4"/>
  </w:num>
  <w:num w:numId="204">
    <w:abstractNumId w:val="4"/>
  </w:num>
  <w:num w:numId="205">
    <w:abstractNumId w:val="4"/>
  </w:num>
  <w:num w:numId="206">
    <w:abstractNumId w:val="4"/>
  </w:num>
  <w:num w:numId="207">
    <w:abstractNumId w:val="4"/>
  </w:num>
  <w:num w:numId="208">
    <w:abstractNumId w:val="4"/>
  </w:num>
  <w:num w:numId="209">
    <w:abstractNumId w:val="4"/>
  </w:num>
  <w:num w:numId="210">
    <w:abstractNumId w:val="4"/>
  </w:num>
  <w:num w:numId="211">
    <w:abstractNumId w:val="4"/>
  </w:num>
  <w:num w:numId="212">
    <w:abstractNumId w:val="4"/>
  </w:num>
  <w:num w:numId="213">
    <w:abstractNumId w:val="4"/>
  </w:num>
  <w:num w:numId="214">
    <w:abstractNumId w:val="4"/>
  </w:num>
  <w:num w:numId="215">
    <w:abstractNumId w:val="4"/>
  </w:num>
  <w:num w:numId="216">
    <w:abstractNumId w:val="4"/>
  </w:num>
  <w:num w:numId="217">
    <w:abstractNumId w:val="4"/>
  </w:num>
  <w:num w:numId="218">
    <w:abstractNumId w:val="4"/>
  </w:num>
  <w:num w:numId="219">
    <w:abstractNumId w:val="4"/>
  </w:num>
  <w:num w:numId="220">
    <w:abstractNumId w:val="4"/>
  </w:num>
  <w:num w:numId="221">
    <w:abstractNumId w:val="4"/>
  </w:num>
  <w:num w:numId="222">
    <w:abstractNumId w:val="4"/>
  </w:num>
  <w:num w:numId="223">
    <w:abstractNumId w:val="4"/>
  </w:num>
  <w:num w:numId="224">
    <w:abstractNumId w:val="4"/>
  </w:num>
  <w:num w:numId="225">
    <w:abstractNumId w:val="4"/>
  </w:num>
  <w:num w:numId="226">
    <w:abstractNumId w:val="4"/>
  </w:num>
  <w:num w:numId="227">
    <w:abstractNumId w:val="4"/>
  </w:num>
  <w:num w:numId="228">
    <w:abstractNumId w:val="4"/>
  </w:num>
  <w:num w:numId="229">
    <w:abstractNumId w:val="4"/>
  </w:num>
  <w:num w:numId="230">
    <w:abstractNumId w:val="4"/>
  </w:num>
  <w:num w:numId="231">
    <w:abstractNumId w:val="4"/>
  </w:num>
  <w:num w:numId="232">
    <w:abstractNumId w:val="4"/>
  </w:num>
  <w:num w:numId="233">
    <w:abstractNumId w:val="4"/>
  </w:num>
  <w:num w:numId="234">
    <w:abstractNumId w:val="4"/>
  </w:num>
  <w:num w:numId="235">
    <w:abstractNumId w:val="4"/>
  </w:num>
  <w:num w:numId="236">
    <w:abstractNumId w:val="4"/>
  </w:num>
  <w:num w:numId="237">
    <w:abstractNumId w:val="4"/>
  </w:num>
  <w:num w:numId="238">
    <w:abstractNumId w:val="4"/>
  </w:num>
  <w:num w:numId="239">
    <w:abstractNumId w:val="4"/>
  </w:num>
  <w:num w:numId="240">
    <w:abstractNumId w:val="4"/>
  </w:num>
  <w:num w:numId="241">
    <w:abstractNumId w:val="4"/>
  </w:num>
  <w:num w:numId="242">
    <w:abstractNumId w:val="4"/>
  </w:num>
  <w:num w:numId="243">
    <w:abstractNumId w:val="4"/>
  </w:num>
  <w:num w:numId="244">
    <w:abstractNumId w:val="4"/>
  </w:num>
  <w:num w:numId="245">
    <w:abstractNumId w:val="4"/>
  </w:num>
  <w:num w:numId="246">
    <w:abstractNumId w:val="4"/>
  </w:num>
  <w:num w:numId="247">
    <w:abstractNumId w:val="4"/>
  </w:num>
  <w:num w:numId="248">
    <w:abstractNumId w:val="4"/>
  </w:num>
  <w:num w:numId="249">
    <w:abstractNumId w:val="4"/>
  </w:num>
  <w:num w:numId="250">
    <w:abstractNumId w:val="4"/>
  </w:num>
  <w:num w:numId="251">
    <w:abstractNumId w:val="4"/>
  </w:num>
  <w:num w:numId="252">
    <w:abstractNumId w:val="4"/>
  </w:num>
  <w:num w:numId="253">
    <w:abstractNumId w:val="4"/>
  </w:num>
  <w:num w:numId="254">
    <w:abstractNumId w:val="4"/>
  </w:num>
  <w:num w:numId="255">
    <w:abstractNumId w:val="4"/>
  </w:num>
  <w:num w:numId="256">
    <w:abstractNumId w:val="4"/>
  </w:num>
  <w:num w:numId="257">
    <w:abstractNumId w:val="4"/>
  </w:num>
  <w:num w:numId="258">
    <w:abstractNumId w:val="4"/>
  </w:num>
  <w:num w:numId="259">
    <w:abstractNumId w:val="4"/>
  </w:num>
  <w:num w:numId="260">
    <w:abstractNumId w:val="4"/>
  </w:num>
  <w:num w:numId="261">
    <w:abstractNumId w:val="4"/>
  </w:num>
  <w:num w:numId="262">
    <w:abstractNumId w:val="4"/>
  </w:num>
  <w:num w:numId="263">
    <w:abstractNumId w:val="4"/>
  </w:num>
  <w:num w:numId="264">
    <w:abstractNumId w:val="4"/>
  </w:num>
  <w:num w:numId="265">
    <w:abstractNumId w:val="4"/>
  </w:num>
  <w:num w:numId="266">
    <w:abstractNumId w:val="4"/>
  </w:num>
  <w:num w:numId="267">
    <w:abstractNumId w:val="4"/>
  </w:num>
  <w:num w:numId="268">
    <w:abstractNumId w:val="4"/>
  </w:num>
  <w:num w:numId="269">
    <w:abstractNumId w:val="4"/>
  </w:num>
  <w:num w:numId="270">
    <w:abstractNumId w:val="4"/>
  </w:num>
  <w:num w:numId="271">
    <w:abstractNumId w:val="4"/>
  </w:num>
  <w:num w:numId="272">
    <w:abstractNumId w:val="4"/>
  </w:num>
  <w:num w:numId="273">
    <w:abstractNumId w:val="4"/>
  </w:num>
  <w:num w:numId="274">
    <w:abstractNumId w:val="4"/>
  </w:num>
  <w:num w:numId="275">
    <w:abstractNumId w:val="4"/>
  </w:num>
  <w:num w:numId="276">
    <w:abstractNumId w:val="4"/>
  </w:num>
  <w:num w:numId="277">
    <w:abstractNumId w:val="4"/>
  </w:num>
  <w:num w:numId="278">
    <w:abstractNumId w:val="4"/>
  </w:num>
  <w:num w:numId="279">
    <w:abstractNumId w:val="4"/>
  </w:num>
  <w:num w:numId="280">
    <w:abstractNumId w:val="4"/>
  </w:num>
  <w:num w:numId="281">
    <w:abstractNumId w:val="4"/>
  </w:num>
  <w:num w:numId="282">
    <w:abstractNumId w:val="4"/>
  </w:num>
  <w:num w:numId="283">
    <w:abstractNumId w:val="4"/>
  </w:num>
  <w:num w:numId="284">
    <w:abstractNumId w:val="4"/>
  </w:num>
  <w:num w:numId="285">
    <w:abstractNumId w:val="4"/>
  </w:num>
  <w:num w:numId="286">
    <w:abstractNumId w:val="4"/>
  </w:num>
  <w:num w:numId="287">
    <w:abstractNumId w:val="4"/>
  </w:num>
  <w:num w:numId="288">
    <w:abstractNumId w:val="4"/>
  </w:num>
  <w:num w:numId="289">
    <w:abstractNumId w:val="4"/>
  </w:num>
  <w:num w:numId="290">
    <w:abstractNumId w:val="4"/>
  </w:num>
  <w:num w:numId="291">
    <w:abstractNumId w:val="4"/>
  </w:num>
  <w:num w:numId="292">
    <w:abstractNumId w:val="4"/>
  </w:num>
  <w:num w:numId="293">
    <w:abstractNumId w:val="4"/>
  </w:num>
  <w:num w:numId="294">
    <w:abstractNumId w:val="4"/>
  </w:num>
  <w:num w:numId="295">
    <w:abstractNumId w:val="4"/>
  </w:num>
  <w:num w:numId="296">
    <w:abstractNumId w:val="4"/>
  </w:num>
  <w:num w:numId="297">
    <w:abstractNumId w:val="4"/>
  </w:num>
  <w:num w:numId="298">
    <w:abstractNumId w:val="4"/>
  </w:num>
  <w:num w:numId="299">
    <w:abstractNumId w:val="4"/>
  </w:num>
  <w:num w:numId="300">
    <w:abstractNumId w:val="4"/>
  </w:num>
  <w:num w:numId="301">
    <w:abstractNumId w:val="4"/>
  </w:num>
  <w:num w:numId="302">
    <w:abstractNumId w:val="4"/>
  </w:num>
  <w:num w:numId="303">
    <w:abstractNumId w:val="4"/>
  </w:num>
  <w:num w:numId="304">
    <w:abstractNumId w:val="4"/>
  </w:num>
  <w:num w:numId="305">
    <w:abstractNumId w:val="4"/>
  </w:num>
  <w:num w:numId="306">
    <w:abstractNumId w:val="4"/>
  </w:num>
  <w:num w:numId="307">
    <w:abstractNumId w:val="4"/>
  </w:num>
  <w:num w:numId="308">
    <w:abstractNumId w:val="4"/>
  </w:num>
  <w:num w:numId="309">
    <w:abstractNumId w:val="4"/>
  </w:num>
  <w:num w:numId="310">
    <w:abstractNumId w:val="4"/>
  </w:num>
  <w:num w:numId="311">
    <w:abstractNumId w:val="4"/>
  </w:num>
  <w:num w:numId="312">
    <w:abstractNumId w:val="4"/>
  </w:num>
  <w:num w:numId="313">
    <w:abstractNumId w:val="4"/>
  </w:num>
  <w:num w:numId="314">
    <w:abstractNumId w:val="4"/>
  </w:num>
  <w:num w:numId="315">
    <w:abstractNumId w:val="4"/>
  </w:num>
  <w:num w:numId="316">
    <w:abstractNumId w:val="4"/>
  </w:num>
  <w:num w:numId="317">
    <w:abstractNumId w:val="4"/>
  </w:num>
  <w:num w:numId="318">
    <w:abstractNumId w:val="4"/>
  </w:num>
  <w:num w:numId="319">
    <w:abstractNumId w:val="4"/>
  </w:num>
  <w:num w:numId="320">
    <w:abstractNumId w:val="4"/>
  </w:num>
  <w:num w:numId="321">
    <w:abstractNumId w:val="4"/>
  </w:num>
  <w:num w:numId="322">
    <w:abstractNumId w:val="4"/>
  </w:num>
  <w:num w:numId="323">
    <w:abstractNumId w:val="4"/>
  </w:num>
  <w:num w:numId="324">
    <w:abstractNumId w:val="4"/>
  </w:num>
  <w:num w:numId="325">
    <w:abstractNumId w:val="4"/>
  </w:num>
  <w:num w:numId="326">
    <w:abstractNumId w:val="4"/>
  </w:num>
  <w:num w:numId="327">
    <w:abstractNumId w:val="4"/>
  </w:num>
  <w:num w:numId="328">
    <w:abstractNumId w:val="4"/>
  </w:num>
  <w:num w:numId="329">
    <w:abstractNumId w:val="4"/>
  </w:num>
  <w:num w:numId="330">
    <w:abstractNumId w:val="4"/>
  </w:num>
  <w:num w:numId="331">
    <w:abstractNumId w:val="4"/>
  </w:num>
  <w:num w:numId="332">
    <w:abstractNumId w:val="4"/>
  </w:num>
  <w:num w:numId="333">
    <w:abstractNumId w:val="4"/>
  </w:num>
  <w:num w:numId="334">
    <w:abstractNumId w:val="4"/>
  </w:num>
  <w:num w:numId="335">
    <w:abstractNumId w:val="4"/>
  </w:num>
  <w:num w:numId="336">
    <w:abstractNumId w:val="4"/>
  </w:num>
  <w:num w:numId="337">
    <w:abstractNumId w:val="4"/>
  </w:num>
  <w:num w:numId="338">
    <w:abstractNumId w:val="4"/>
  </w:num>
  <w:num w:numId="339">
    <w:abstractNumId w:val="4"/>
  </w:num>
  <w:num w:numId="340">
    <w:abstractNumId w:val="4"/>
  </w:num>
  <w:num w:numId="341">
    <w:abstractNumId w:val="4"/>
  </w:num>
  <w:num w:numId="342">
    <w:abstractNumId w:val="4"/>
  </w:num>
  <w:num w:numId="343">
    <w:abstractNumId w:val="4"/>
  </w:num>
  <w:num w:numId="344">
    <w:abstractNumId w:val="4"/>
  </w:num>
  <w:num w:numId="345">
    <w:abstractNumId w:val="4"/>
  </w:num>
  <w:num w:numId="346">
    <w:abstractNumId w:val="4"/>
  </w:num>
  <w:num w:numId="347">
    <w:abstractNumId w:val="4"/>
  </w:num>
  <w:num w:numId="348">
    <w:abstractNumId w:val="4"/>
  </w:num>
  <w:num w:numId="349">
    <w:abstractNumId w:val="4"/>
  </w:num>
  <w:num w:numId="350">
    <w:abstractNumId w:val="4"/>
  </w:num>
  <w:num w:numId="351">
    <w:abstractNumId w:val="4"/>
  </w:num>
  <w:num w:numId="352">
    <w:abstractNumId w:val="4"/>
  </w:num>
  <w:num w:numId="353">
    <w:abstractNumId w:val="4"/>
  </w:num>
  <w:num w:numId="354">
    <w:abstractNumId w:val="4"/>
  </w:num>
  <w:num w:numId="355">
    <w:abstractNumId w:val="4"/>
  </w:num>
  <w:num w:numId="356">
    <w:abstractNumId w:val="4"/>
  </w:num>
</w:numbering>
</file>

<file path=word/settings.xml><?xml version="1.0" encoding="utf-8"?>
<w:settings xmlns:w="http://schemas.openxmlformats.org/wordprocessingml/2006/main">
  <w:zoom w:percent="100"/>
  <w:mirrorMargins/>
  <w:defaultTabStop w:val="408"/>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 w:cs="Times New Roman" w:eastAsiaTheme="minorEastAsia"/>
        <w:lang w:val="pt-BR" w:eastAsia="en-US" w:bidi="ar-SA"/>
      </w:rPr>
    </w:rPrDefault>
    <w:pPrDefault>
      <w:pPr>
        <w:suppressAutoHyphens w:val="true"/>
      </w:pPr>
    </w:pPrDefault>
  </w:docDefaults>
  <w:latentStyles w:defLockedState="0" w:defUIPriority="0" w:defSemiHidden="0" w:defUnhideWhenUsed="0" w:defQFormat="0" w:count="376">
    <w:lsdException w:name="heading 1" w:uiPriority="9"/>
    <w:lsdException w:name="heading 3" w:uiPriority="9" w:semiHidden="1" w:unhideWhenUsed="1" w:qFormat="1"/>
    <w:lsdException w:name="heading 4" w:semiHidden="1" w:unhideWhenUsed="1" w:qFormat="1"/>
    <w:lsdException w:name="heading 5" w:semiHidden="1" w:unhideWhenUsed="1" w:qFormat="1"/>
    <w:lsdException w:name="heading 6" w:uiPriority="9"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uiPriority="1" w:semiHidden="1" w:unhideWhenUsed="1"/>
    <w:lsdException w:name="Body Text" w:uiPriority="99"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uiPriority="99"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99"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uiPriority="39"/>
    <w:lsdException w:name="Table Theme" w:semiHidden="1" w:unhideWhenUsed="1"/>
    <w:lsdException w:name="Placeholder Text" w:uiPriority="67" w:semiHidden="1"/>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99" w:semiHidden="1"/>
    <w:lsdException w:name="List Paragraph" w:uiPriority="34"/>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ea3333"/>
    <w:pPr>
      <w:widowControl/>
      <w:suppressAutoHyphens w:val="true"/>
      <w:bidi w:val="0"/>
      <w:spacing w:before="0" w:after="0"/>
      <w:jc w:val="left"/>
    </w:pPr>
    <w:rPr>
      <w:rFonts w:ascii="Ecofont_Spranq_eco_Sans" w:hAnsi="Ecofont_Spranq_eco_Sans" w:eastAsia="" w:cs="Tahoma" w:eastAsiaTheme="minorEastAsia"/>
      <w:color w:val="auto"/>
      <w:kern w:val="0"/>
      <w:sz w:val="24"/>
      <w:szCs w:val="24"/>
      <w:lang w:val="pt-BR" w:eastAsia="pt-BR" w:bidi="ar-SA"/>
    </w:rPr>
  </w:style>
  <w:style w:type="paragraph" w:styleId="Ttulo1">
    <w:name w:val="Heading 1"/>
    <w:basedOn w:val="Normal"/>
    <w:next w:val="Normal"/>
    <w:link w:val="Ttulo1Char"/>
    <w:uiPriority w:val="9"/>
    <w:qFormat/>
    <w:rsid w:val="007f77ad"/>
    <w:pPr>
      <w:keepNext w:val="true"/>
      <w:keepLines/>
      <w:spacing w:before="480" w:after="0"/>
      <w:outlineLvl w:val="0"/>
    </w:pPr>
    <w:rPr>
      <w:rFonts w:ascii="Calibri" w:hAnsi="Calibri" w:eastAsia="" w:cs="" w:asciiTheme="majorHAnsi" w:cstheme="majorBidi" w:eastAsiaTheme="majorEastAsia" w:hAnsiTheme="majorHAnsi"/>
      <w:b/>
      <w:bCs/>
      <w:color w:val="365F91" w:themeColor="accent1" w:themeShade="bf"/>
      <w:sz w:val="28"/>
      <w:szCs w:val="28"/>
    </w:rPr>
  </w:style>
  <w:style w:type="paragraph" w:styleId="Ttulo2">
    <w:name w:val="Heading 2"/>
    <w:basedOn w:val="Normal"/>
    <w:next w:val="Normal"/>
    <w:link w:val="Ttulo2Char"/>
    <w:qFormat/>
    <w:rsid w:val="004b460a"/>
    <w:pPr>
      <w:keepNext w:val="true"/>
      <w:tabs>
        <w:tab w:val="clear" w:pos="408"/>
        <w:tab w:val="left" w:pos="1701" w:leader="none"/>
      </w:tabs>
      <w:ind w:right="-1" w:hanging="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b3192"/>
    <w:pPr>
      <w:keepNext w:val="true"/>
      <w:keepLines/>
      <w:spacing w:lineRule="auto" w:line="259" w:before="40" w:after="0"/>
      <w:outlineLvl w:val="2"/>
    </w:pPr>
    <w:rPr>
      <w:rFonts w:ascii="Calibri" w:hAnsi="Calibri" w:eastAsia="" w:cs="" w:asciiTheme="majorHAnsi" w:cstheme="majorBidi" w:eastAsiaTheme="majorEastAsia" w:hAnsiTheme="majorHAnsi"/>
      <w:color w:val="243F60" w:themeColor="accent1" w:themeShade="7f"/>
      <w:lang w:eastAsia="en-US"/>
    </w:rPr>
  </w:style>
  <w:style w:type="paragraph" w:styleId="Ttulo4">
    <w:name w:val="Heading 4"/>
    <w:basedOn w:val="Normal"/>
    <w:next w:val="Normal"/>
    <w:link w:val="Ttulo4Char"/>
    <w:semiHidden/>
    <w:unhideWhenUsed/>
    <w:qFormat/>
    <w:rsid w:val="00a45a85"/>
    <w:pPr>
      <w:keepNext w:val="true"/>
      <w:keepLines/>
      <w:spacing w:before="40" w:after="0"/>
      <w:outlineLvl w:val="3"/>
    </w:pPr>
    <w:rPr>
      <w:rFonts w:ascii="Calibri" w:hAnsi="Calibri" w:eastAsia="" w:cs="" w:asciiTheme="majorHAnsi" w:cstheme="majorBidi" w:eastAsiaTheme="majorEastAsia" w:hAnsiTheme="majorHAnsi"/>
      <w:i/>
      <w:iCs/>
      <w:color w:val="365F91" w:themeColor="accent1" w:themeShade="bf"/>
    </w:rPr>
  </w:style>
  <w:style w:type="paragraph" w:styleId="Ttulo6">
    <w:name w:val="Heading 6"/>
    <w:basedOn w:val="Normal"/>
    <w:next w:val="Normal"/>
    <w:link w:val="Ttulo6Char"/>
    <w:uiPriority w:val="9"/>
    <w:semiHidden/>
    <w:unhideWhenUsed/>
    <w:qFormat/>
    <w:rsid w:val="00cb3192"/>
    <w:pPr>
      <w:keepNext w:val="true"/>
      <w:keepLines/>
      <w:spacing w:lineRule="auto" w:line="259" w:before="40" w:after="0"/>
      <w:outlineLvl w:val="5"/>
    </w:pPr>
    <w:rPr>
      <w:rFonts w:ascii="Calibri" w:hAnsi="Calibri" w:eastAsia="" w:cs="" w:asciiTheme="majorHAnsi" w:cstheme="majorBidi" w:eastAsiaTheme="majorEastAsia" w:hAnsiTheme="majorHAnsi"/>
      <w:color w:val="243F60" w:themeColor="accent1" w:themeShade="7f"/>
      <w:sz w:val="22"/>
      <w:szCs w:val="22"/>
      <w:lang w:eastAsia="en-US"/>
    </w:rPr>
  </w:style>
  <w:style w:type="character" w:styleId="DefaultParagraphFont" w:default="1">
    <w:name w:val="Default Paragraph Font"/>
    <w:uiPriority w:val="1"/>
    <w:semiHidden/>
    <w:unhideWhenUsed/>
    <w:qFormat/>
    <w:rPr/>
  </w:style>
  <w:style w:type="character" w:styleId="TextodebaloChar" w:customStyle="1">
    <w:name w:val="Texto de balão Char"/>
    <w:link w:val="Textodebalo"/>
    <w:uiPriority w:val="99"/>
    <w:qFormat/>
    <w:rsid w:val="003a73c1"/>
    <w:rPr>
      <w:rFonts w:ascii="Tahoma" w:hAnsi="Tahoma" w:cs="Tahoma"/>
      <w:sz w:val="16"/>
      <w:szCs w:val="16"/>
    </w:rPr>
  </w:style>
  <w:style w:type="character" w:styleId="Ttulo2Char" w:customStyle="1">
    <w:name w:val="Título 2 Char"/>
    <w:link w:val="Ttulo2"/>
    <w:qFormat/>
    <w:rsid w:val="004b460a"/>
    <w:rPr>
      <w:b/>
      <w:color w:val="000000"/>
      <w:sz w:val="24"/>
    </w:rPr>
  </w:style>
  <w:style w:type="character" w:styleId="Normalchar1" w:customStyle="1">
    <w:name w:val="normal__char1"/>
    <w:qFormat/>
    <w:rsid w:val="008d51cc"/>
    <w:rPr>
      <w:rFonts w:ascii="Arial" w:hAnsi="Arial" w:cs="Arial"/>
      <w:strike w:val="false"/>
      <w:dstrike w:val="false"/>
      <w:sz w:val="24"/>
      <w:szCs w:val="24"/>
      <w:u w:val="none"/>
      <w:effect w:val="none"/>
    </w:rPr>
  </w:style>
  <w:style w:type="character" w:styleId="Applestylespan" w:customStyle="1">
    <w:name w:val="apple-style-span"/>
    <w:basedOn w:val="DefaultParagraphFont"/>
    <w:qFormat/>
    <w:rsid w:val="00260802"/>
    <w:rPr/>
  </w:style>
  <w:style w:type="character" w:styleId="LinkdaInternet" w:customStyle="1">
    <w:name w:val="Link da Internet"/>
    <w:basedOn w:val="DefaultParagraphFont"/>
    <w:uiPriority w:val="99"/>
    <w:unhideWhenUsed/>
    <w:rsid w:val="00dc41dd"/>
    <w:rPr>
      <w:color w:val="0000FF" w:themeColor="hyperlink"/>
      <w:u w:val="single"/>
    </w:rPr>
  </w:style>
  <w:style w:type="character" w:styleId="CitaoChar" w:customStyle="1">
    <w:name w:val="Citação Char"/>
    <w:link w:val="Citao"/>
    <w:qFormat/>
    <w:rsid w:val="00080b53"/>
    <w:rPr>
      <w:rFonts w:ascii="Arial" w:hAnsi="Arial" w:eastAsia="Calibri" w:cs="Tahoma"/>
      <w:i/>
      <w:iCs/>
      <w:color w:val="000000"/>
      <w:szCs w:val="24"/>
      <w:shd w:fill="FFFFCC" w:val="clear"/>
    </w:rPr>
  </w:style>
  <w:style w:type="character" w:styleId="NotaexplicativaChar" w:customStyle="1">
    <w:name w:val="Nota explicativa Char"/>
    <w:basedOn w:val="CitaoChar"/>
    <w:link w:val="Notaexplicativa"/>
    <w:qFormat/>
    <w:rsid w:val="00265fb6"/>
    <w:rPr>
      <w:rFonts w:ascii="Arial" w:hAnsi="Arial" w:eastAsia="Calibri" w:cs="Tahoma"/>
      <w:i/>
      <w:iCs/>
      <w:color w:val="000000"/>
      <w:szCs w:val="24"/>
      <w:shd w:fill="FFFFCC" w:val="clear"/>
    </w:rPr>
  </w:style>
  <w:style w:type="character" w:styleId="CabealhoChar" w:customStyle="1">
    <w:name w:val="Cabeçalho Char"/>
    <w:link w:val="Cabealho"/>
    <w:uiPriority w:val="99"/>
    <w:qFormat/>
    <w:rsid w:val="00ca24fb"/>
    <w:rPr>
      <w:rFonts w:ascii="Ecofont_Spranq_eco_Sans" w:hAnsi="Ecofont_Spranq_eco_Sans" w:cs="Tahoma"/>
      <w:sz w:val="24"/>
      <w:szCs w:val="24"/>
    </w:rPr>
  </w:style>
  <w:style w:type="character" w:styleId="RodapChar" w:customStyle="1">
    <w:name w:val="Rodapé Char"/>
    <w:link w:val="Rodap"/>
    <w:uiPriority w:val="99"/>
    <w:qFormat/>
    <w:rsid w:val="00ca24fb"/>
    <w:rPr>
      <w:rFonts w:ascii="Ecofont_Spranq_eco_Sans" w:hAnsi="Ecofont_Spranq_eco_Sans" w:cs="Tahoma"/>
      <w:sz w:val="24"/>
      <w:szCs w:val="24"/>
    </w:rPr>
  </w:style>
  <w:style w:type="character" w:styleId="Annotationreference">
    <w:name w:val="annotation reference"/>
    <w:basedOn w:val="DefaultParagraphFont"/>
    <w:unhideWhenUsed/>
    <w:qFormat/>
    <w:rsid w:val="00430fdb"/>
    <w:rPr>
      <w:sz w:val="16"/>
      <w:szCs w:val="16"/>
    </w:rPr>
  </w:style>
  <w:style w:type="character" w:styleId="TextodecomentrioChar" w:customStyle="1">
    <w:name w:val="Texto de comentário Char"/>
    <w:basedOn w:val="DefaultParagraphFont"/>
    <w:link w:val="Textodecomentrio"/>
    <w:uiPriority w:val="99"/>
    <w:qFormat/>
    <w:rsid w:val="00430fdb"/>
    <w:rPr>
      <w:rFonts w:ascii="Ecofont_Spranq_eco_Sans" w:hAnsi="Ecofont_Spranq_eco_Sans" w:cs="Tahoma"/>
      <w:lang w:eastAsia="pt-BR"/>
    </w:rPr>
  </w:style>
  <w:style w:type="character" w:styleId="AssuntodocomentrioChar" w:customStyle="1">
    <w:name w:val="Assunto do comentário Char"/>
    <w:basedOn w:val="TextodecomentrioChar"/>
    <w:link w:val="Assuntodocomentrio"/>
    <w:uiPriority w:val="99"/>
    <w:semiHidden/>
    <w:qFormat/>
    <w:rsid w:val="00430fdb"/>
    <w:rPr>
      <w:rFonts w:ascii="Ecofont_Spranq_eco_Sans" w:hAnsi="Ecofont_Spranq_eco_Sans" w:cs="Tahoma"/>
      <w:b/>
      <w:bCs/>
      <w:lang w:eastAsia="pt-BR"/>
    </w:rPr>
  </w:style>
  <w:style w:type="character" w:styleId="Ttulo4Char" w:customStyle="1">
    <w:name w:val="Título 4 Char"/>
    <w:basedOn w:val="DefaultParagraphFont"/>
    <w:link w:val="Ttulo4"/>
    <w:qFormat/>
    <w:rsid w:val="00a45a85"/>
    <w:rPr>
      <w:rFonts w:ascii="Calibri" w:hAnsi="Calibri" w:eastAsia="" w:cs="" w:asciiTheme="majorHAnsi" w:cstheme="majorBidi" w:eastAsiaTheme="majorEastAsia" w:hAnsiTheme="majorHAnsi"/>
      <w:i/>
      <w:iCs/>
      <w:color w:val="365F91" w:themeColor="accent1" w:themeShade="bf"/>
      <w:sz w:val="24"/>
      <w:szCs w:val="24"/>
      <w:lang w:eastAsia="pt-BR"/>
    </w:rPr>
  </w:style>
  <w:style w:type="character" w:styleId="TtuloChar" w:customStyle="1">
    <w:name w:val="Título Char"/>
    <w:basedOn w:val="DefaultParagraphFont"/>
    <w:link w:val="Ttulo"/>
    <w:qFormat/>
    <w:rsid w:val="007f77ad"/>
    <w:rPr>
      <w:rFonts w:ascii="Calibri" w:hAnsi="Calibri" w:eastAsia="" w:cs="" w:asciiTheme="majorHAnsi" w:cstheme="majorBidi" w:eastAsiaTheme="majorEastAsia" w:hAnsiTheme="majorHAnsi"/>
      <w:color w:val="17365D" w:themeColor="text2" w:themeShade="bf"/>
      <w:spacing w:val="5"/>
      <w:kern w:val="2"/>
      <w:sz w:val="52"/>
      <w:szCs w:val="52"/>
      <w:lang w:eastAsia="pt-BR"/>
    </w:rPr>
  </w:style>
  <w:style w:type="character" w:styleId="Nivel01Char" w:customStyle="1">
    <w:name w:val="Nivel 01 Char"/>
    <w:basedOn w:val="TtuloChar"/>
    <w:link w:val="Nivel01"/>
    <w:qFormat/>
    <w:rsid w:val="00881f44"/>
    <w:rPr>
      <w:rFonts w:ascii="Arial" w:hAnsi="Arial" w:eastAsia="" w:cs="Arial" w:eastAsiaTheme="majorEastAsia"/>
      <w:b/>
      <w:bCs/>
      <w:color w:val="17365D" w:themeColor="text2" w:themeShade="bf"/>
      <w:spacing w:val="5"/>
      <w:kern w:val="2"/>
      <w:sz w:val="52"/>
      <w:szCs w:val="52"/>
      <w:lang w:eastAsia="pt-BR"/>
    </w:rPr>
  </w:style>
  <w:style w:type="character" w:styleId="Ttulo1Char" w:customStyle="1">
    <w:name w:val="Título 1 Char"/>
    <w:basedOn w:val="DefaultParagraphFont"/>
    <w:link w:val="Ttulo1"/>
    <w:uiPriority w:val="9"/>
    <w:qFormat/>
    <w:rsid w:val="007f77ad"/>
    <w:rPr>
      <w:rFonts w:ascii="Calibri" w:hAnsi="Calibri" w:eastAsia="" w:cs="" w:asciiTheme="majorHAnsi" w:cstheme="majorBidi" w:eastAsiaTheme="majorEastAsia" w:hAnsiTheme="majorHAnsi"/>
      <w:b/>
      <w:bCs/>
      <w:color w:val="365F91" w:themeColor="accent1" w:themeShade="bf"/>
      <w:sz w:val="28"/>
      <w:szCs w:val="28"/>
      <w:lang w:eastAsia="pt-BR"/>
    </w:rPr>
  </w:style>
  <w:style w:type="character" w:styleId="Nivel01TituloChar" w:customStyle="1">
    <w:name w:val="Nivel_01_Titulo Char"/>
    <w:basedOn w:val="Nivel01Char"/>
    <w:link w:val="Nivel01Titulo"/>
    <w:qFormat/>
    <w:rsid w:val="00e967ea"/>
    <w:rPr>
      <w:rFonts w:ascii="Arial" w:hAnsi="Arial" w:eastAsia="" w:cs="" w:cstheme="majorBidi" w:eastAsiaTheme="majorEastAsia"/>
      <w:b/>
      <w:bCs/>
      <w:color w:val="000000" w:themeColor="text1"/>
      <w:spacing w:val="5"/>
      <w:kern w:val="2"/>
      <w:sz w:val="52"/>
      <w:szCs w:val="52"/>
      <w:lang w:eastAsia="pt-BR"/>
    </w:rPr>
  </w:style>
  <w:style w:type="character" w:styleId="QuoteChar" w:customStyle="1">
    <w:name w:val="Quote Char"/>
    <w:basedOn w:val="DefaultParagraphFont"/>
    <w:link w:val="Citao1"/>
    <w:qFormat/>
    <w:rsid w:val="00b77761"/>
    <w:rPr>
      <w:rFonts w:ascii="Ecofont_Spranq_eco_Sans" w:hAnsi="Ecofont_Spranq_eco_Sans" w:eastAsia="Calibri" w:cs="Tahoma"/>
      <w:i/>
      <w:iCs/>
      <w:color w:val="000000"/>
      <w:shd w:fill="FFFFCC" w:val="clear"/>
    </w:rPr>
  </w:style>
  <w:style w:type="character" w:styleId="Normaltextrun" w:customStyle="1">
    <w:name w:val="normaltextrun"/>
    <w:basedOn w:val="DefaultParagraphFont"/>
    <w:qFormat/>
    <w:rsid w:val="0053119e"/>
    <w:rPr/>
  </w:style>
  <w:style w:type="character" w:styleId="Eop" w:customStyle="1">
    <w:name w:val="eop"/>
    <w:basedOn w:val="DefaultParagraphFont"/>
    <w:qFormat/>
    <w:rsid w:val="0053119e"/>
    <w:rPr/>
  </w:style>
  <w:style w:type="character" w:styleId="Spellingerror" w:customStyle="1">
    <w:name w:val="spellingerror"/>
    <w:basedOn w:val="DefaultParagraphFont"/>
    <w:qFormat/>
    <w:rsid w:val="0053119e"/>
    <w:rPr/>
  </w:style>
  <w:style w:type="character" w:styleId="CorpodetextoChar" w:customStyle="1">
    <w:name w:val="Corpo de texto Char"/>
    <w:basedOn w:val="DefaultParagraphFont"/>
    <w:link w:val="Corpodetexto"/>
    <w:uiPriority w:val="99"/>
    <w:qFormat/>
    <w:rsid w:val="00405763"/>
    <w:rPr>
      <w:rFonts w:eastAsia="Times New Roman"/>
      <w:sz w:val="24"/>
      <w:szCs w:val="24"/>
      <w:lang w:eastAsia="pt-BR"/>
    </w:rPr>
  </w:style>
  <w:style w:type="character" w:styleId="Nivel1Char" w:customStyle="1">
    <w:name w:val="Nivel1 Char"/>
    <w:basedOn w:val="Ttulo1Char"/>
    <w:link w:val="Nivel1"/>
    <w:qFormat/>
    <w:rsid w:val="001b6423"/>
    <w:rPr>
      <w:rFonts w:ascii="Arial" w:hAnsi="Arial" w:eastAsia="" w:cs="Arial" w:eastAsiaTheme="majorEastAsia"/>
      <w:b/>
      <w:bCs w:val="false"/>
      <w:color w:val="000000"/>
      <w:sz w:val="28"/>
      <w:szCs w:val="28"/>
      <w:lang w:eastAsia="pt-BR"/>
    </w:rPr>
  </w:style>
  <w:style w:type="character" w:styleId="Nivel4Char" w:customStyle="1">
    <w:name w:val="Nivel 4 Char"/>
    <w:basedOn w:val="DefaultParagraphFont"/>
    <w:link w:val="Nivel4"/>
    <w:qFormat/>
    <w:rsid w:val="00da3ef1"/>
    <w:rPr>
      <w:rFonts w:ascii="Arial" w:hAnsi="Arial" w:cs="Arial"/>
      <w:lang w:eastAsia="pt-BR"/>
    </w:rPr>
  </w:style>
  <w:style w:type="character" w:styleId="Cp0020corpodespachochar1" w:customStyle="1">
    <w:name w:val="cp_0020corpodespacho__char1"/>
    <w:qFormat/>
    <w:rsid w:val="00d30a43"/>
    <w:rPr>
      <w:rFonts w:ascii="Times New Roman" w:hAnsi="Times New Roman" w:cs="Times New Roman"/>
      <w:strike w:val="false"/>
      <w:dstrike w:val="false"/>
      <w:sz w:val="26"/>
      <w:szCs w:val="26"/>
      <w:u w:val="none"/>
      <w:effect w:val="none"/>
    </w:rPr>
  </w:style>
  <w:style w:type="character" w:styleId="Em0020ementachar1" w:customStyle="1">
    <w:name w:val="em_0020ementa__char1"/>
    <w:qFormat/>
    <w:rsid w:val="00d30a43"/>
    <w:rPr>
      <w:rFonts w:ascii="Times New Roman" w:hAnsi="Times New Roman" w:cs="Times New Roman"/>
      <w:strike w:val="false"/>
      <w:dstrike w:val="false"/>
      <w:sz w:val="28"/>
      <w:szCs w:val="28"/>
      <w:u w:val="none"/>
      <w:effect w:val="none"/>
    </w:rPr>
  </w:style>
  <w:style w:type="character" w:styleId="Strong">
    <w:name w:val="Strong"/>
    <w:basedOn w:val="DefaultParagraphFont"/>
    <w:uiPriority w:val="22"/>
    <w:qFormat/>
    <w:rsid w:val="00d30a43"/>
    <w:rPr>
      <w:b/>
      <w:bCs/>
    </w:rPr>
  </w:style>
  <w:style w:type="character" w:styleId="Nfase">
    <w:name w:val="Ênfase"/>
    <w:basedOn w:val="DefaultParagraphFont"/>
    <w:uiPriority w:val="20"/>
    <w:qFormat/>
    <w:rsid w:val="00d30a43"/>
    <w:rPr>
      <w:i/>
      <w:iCs/>
    </w:rPr>
  </w:style>
  <w:style w:type="character" w:styleId="Manoel" w:customStyle="1">
    <w:name w:val="Manoel"/>
    <w:qFormat/>
    <w:rsid w:val="00d30a43"/>
    <w:rPr>
      <w:rFonts w:ascii="Arial" w:hAnsi="Arial" w:cs="Arial"/>
      <w:color w:val="7030A0"/>
      <w:sz w:val="20"/>
    </w:rPr>
  </w:style>
  <w:style w:type="character" w:styleId="GradeColoridanfase1Char" w:customStyle="1">
    <w:name w:val="Grade Colorida - Ênfase 1 Char"/>
    <w:link w:val="GradeColorida-nfase11"/>
    <w:uiPriority w:val="29"/>
    <w:qFormat/>
    <w:rsid w:val="00d30a43"/>
    <w:rPr>
      <w:rFonts w:ascii="Arial" w:hAnsi="Arial" w:eastAsia="Calibri"/>
      <w:i/>
      <w:iCs/>
      <w:color w:val="000000"/>
      <w:szCs w:val="24"/>
      <w:shd w:fill="FFFFCC" w:val="clear"/>
    </w:rPr>
  </w:style>
  <w:style w:type="character" w:styleId="Highlight" w:customStyle="1">
    <w:name w:val="highlight"/>
    <w:basedOn w:val="DefaultParagraphFont"/>
    <w:qFormat/>
    <w:rsid w:val="00d30a43"/>
    <w:rPr/>
  </w:style>
  <w:style w:type="character" w:styleId="Linkdainternetvisitado">
    <w:name w:val="Link da internet visitado"/>
    <w:basedOn w:val="DefaultParagraphFont"/>
    <w:uiPriority w:val="99"/>
    <w:semiHidden/>
    <w:unhideWhenUsed/>
    <w:rsid w:val="00d30a43"/>
    <w:rPr>
      <w:color w:val="800080" w:themeColor="followedHyperlink"/>
      <w:u w:val="single"/>
    </w:rPr>
  </w:style>
  <w:style w:type="character" w:styleId="MenoPendente1" w:customStyle="1">
    <w:name w:val="Menção Pendente1"/>
    <w:basedOn w:val="DefaultParagraphFont"/>
    <w:uiPriority w:val="99"/>
    <w:semiHidden/>
    <w:unhideWhenUsed/>
    <w:qFormat/>
    <w:rsid w:val="00d30a43"/>
    <w:rPr>
      <w:color w:val="605E5C"/>
      <w:shd w:fill="E1DFDD" w:val="clear"/>
    </w:rPr>
  </w:style>
  <w:style w:type="character" w:styleId="MenoPendente2" w:customStyle="1">
    <w:name w:val="Menção Pendente2"/>
    <w:basedOn w:val="DefaultParagraphFont"/>
    <w:uiPriority w:val="99"/>
    <w:semiHidden/>
    <w:unhideWhenUsed/>
    <w:qFormat/>
    <w:rsid w:val="0063029c"/>
    <w:rPr>
      <w:color w:val="605E5C"/>
      <w:shd w:fill="E1DFDD" w:val="clear"/>
    </w:rPr>
  </w:style>
  <w:style w:type="character" w:styleId="Nivel2Char" w:customStyle="1">
    <w:name w:val="Nivel 2 Char"/>
    <w:basedOn w:val="DefaultParagraphFont"/>
    <w:link w:val="Nivel2"/>
    <w:qFormat/>
    <w:locked/>
    <w:rsid w:val="0084242c"/>
    <w:rPr>
      <w:rFonts w:ascii="Arial" w:hAnsi="Arial" w:eastAsia="Arial" w:cs="Arial"/>
      <w:color w:val="000000"/>
      <w:lang w:eastAsia="pt-BR"/>
    </w:rPr>
  </w:style>
  <w:style w:type="character" w:styleId="Nvel2OpcionalChar" w:customStyle="1">
    <w:name w:val="Nível 2 Opcional Char"/>
    <w:basedOn w:val="DefaultParagraphFont"/>
    <w:link w:val="Nvel2Opcional"/>
    <w:qFormat/>
    <w:rsid w:val="00a831d9"/>
    <w:rPr>
      <w:rFonts w:ascii="Arial" w:hAnsi="Arial" w:eastAsia="Times New Roman" w:cs="Arial"/>
      <w:i/>
      <w:color w:val="FF0000"/>
      <w:lang w:eastAsia="pt-BR"/>
    </w:rPr>
  </w:style>
  <w:style w:type="character" w:styleId="Nvel3OpcionalChar" w:customStyle="1">
    <w:name w:val="Nível 3 Opcional Char"/>
    <w:basedOn w:val="DefaultParagraphFont"/>
    <w:link w:val="Nvel3Opcional"/>
    <w:qFormat/>
    <w:rsid w:val="00a831d9"/>
    <w:rPr>
      <w:rFonts w:ascii="Arial" w:hAnsi="Arial" w:eastAsia="Times New Roman" w:cs="Arial"/>
      <w:i/>
      <w:iCs/>
      <w:color w:val="FF0000"/>
      <w:lang w:eastAsia="pt-BR"/>
    </w:rPr>
  </w:style>
  <w:style w:type="character" w:styleId="PlaceholderText">
    <w:name w:val="Placeholder Text"/>
    <w:basedOn w:val="DefaultParagraphFont"/>
    <w:uiPriority w:val="67"/>
    <w:semiHidden/>
    <w:qFormat/>
    <w:rsid w:val="0029332d"/>
    <w:rPr>
      <w:color w:val="808080"/>
    </w:rPr>
  </w:style>
  <w:style w:type="character" w:styleId="PargrafodaListaChar" w:customStyle="1">
    <w:name w:val="Parágrafo da Lista Char"/>
    <w:basedOn w:val="DefaultParagraphFont"/>
    <w:link w:val="PargrafodaLista"/>
    <w:uiPriority w:val="34"/>
    <w:qFormat/>
    <w:rsid w:val="002430f2"/>
    <w:rPr>
      <w:rFonts w:ascii="Ecofont_Spranq_eco_Sans" w:hAnsi="Ecofont_Spranq_eco_Sans" w:cs="Tahoma"/>
      <w:sz w:val="24"/>
      <w:szCs w:val="24"/>
      <w:lang w:eastAsia="pt-BR"/>
    </w:rPr>
  </w:style>
  <w:style w:type="character" w:styleId="Ttulo3Char" w:customStyle="1">
    <w:name w:val="Título 3 Char"/>
    <w:basedOn w:val="DefaultParagraphFont"/>
    <w:link w:val="Ttulo3"/>
    <w:uiPriority w:val="9"/>
    <w:semiHidden/>
    <w:qFormat/>
    <w:rsid w:val="00cb3192"/>
    <w:rPr>
      <w:rFonts w:ascii="Calibri" w:hAnsi="Calibri" w:eastAsia="" w:cs="" w:asciiTheme="majorHAnsi" w:cstheme="majorBidi" w:eastAsiaTheme="majorEastAsia" w:hAnsiTheme="majorHAnsi"/>
      <w:color w:val="243F60" w:themeColor="accent1" w:themeShade="7f"/>
      <w:sz w:val="24"/>
      <w:szCs w:val="24"/>
    </w:rPr>
  </w:style>
  <w:style w:type="character" w:styleId="Ttulo6Char" w:customStyle="1">
    <w:name w:val="Título 6 Char"/>
    <w:basedOn w:val="DefaultParagraphFont"/>
    <w:link w:val="Ttulo6"/>
    <w:uiPriority w:val="9"/>
    <w:semiHidden/>
    <w:qFormat/>
    <w:rsid w:val="00cb3192"/>
    <w:rPr>
      <w:rFonts w:ascii="Calibri" w:hAnsi="Calibri" w:eastAsia="" w:cs="" w:asciiTheme="majorHAnsi" w:cstheme="majorBidi" w:eastAsiaTheme="majorEastAsia" w:hAnsiTheme="majorHAnsi"/>
      <w:color w:val="243F60" w:themeColor="accent1" w:themeShade="7f"/>
      <w:sz w:val="22"/>
      <w:szCs w:val="22"/>
    </w:rPr>
  </w:style>
  <w:style w:type="character" w:styleId="Markedcontent" w:customStyle="1">
    <w:name w:val="markedcontent"/>
    <w:basedOn w:val="DefaultParagraphFont"/>
    <w:qFormat/>
    <w:rsid w:val="00cb3192"/>
    <w:rPr/>
  </w:style>
  <w:style w:type="character" w:styleId="MenoPendente3" w:customStyle="1">
    <w:name w:val="Menção Pendente3"/>
    <w:basedOn w:val="DefaultParagraphFont"/>
    <w:uiPriority w:val="99"/>
    <w:semiHidden/>
    <w:unhideWhenUsed/>
    <w:qFormat/>
    <w:rsid w:val="00cb3192"/>
    <w:rPr>
      <w:color w:val="605E5C"/>
      <w:shd w:fill="E1DFDD" w:val="clear"/>
    </w:rPr>
  </w:style>
  <w:style w:type="character" w:styleId="MenoPendente4" w:customStyle="1">
    <w:name w:val="Menção Pendente4"/>
    <w:basedOn w:val="DefaultParagraphFont"/>
    <w:uiPriority w:val="99"/>
    <w:semiHidden/>
    <w:unhideWhenUsed/>
    <w:qFormat/>
    <w:rsid w:val="00cb3192"/>
    <w:rPr>
      <w:color w:val="605E5C"/>
      <w:shd w:fill="E1DFDD" w:val="clear"/>
    </w:rPr>
  </w:style>
  <w:style w:type="character" w:styleId="OuChar" w:customStyle="1">
    <w:name w:val="ou Char"/>
    <w:basedOn w:val="PargrafodaListaChar"/>
    <w:link w:val="ou"/>
    <w:qFormat/>
    <w:rsid w:val="00f93d80"/>
    <w:rPr>
      <w:rFonts w:ascii="Arial" w:hAnsi="Arial" w:eastAsia="Cambria" w:cs="Arial" w:eastAsiaTheme="minorHAnsi"/>
      <w:b/>
      <w:bCs/>
      <w:i/>
      <w:iCs/>
      <w:color w:val="FF0000"/>
      <w:sz w:val="24"/>
      <w:szCs w:val="24"/>
      <w:u w:val="single"/>
      <w:lang w:eastAsia="pt-BR"/>
    </w:rPr>
  </w:style>
  <w:style w:type="character" w:styleId="Nvel2RedChar" w:customStyle="1">
    <w:name w:val="Nível 2 -Red Char"/>
    <w:basedOn w:val="Nivel2Char"/>
    <w:link w:val="Nvel2-Red"/>
    <w:qFormat/>
    <w:rsid w:val="00da3ef1"/>
    <w:rPr>
      <w:rFonts w:ascii="Arial" w:hAnsi="Arial" w:eastAsia="Arial" w:cs="Arial"/>
      <w:i/>
      <w:iCs/>
      <w:color w:val="FF0000"/>
      <w:lang w:eastAsia="pt-BR"/>
    </w:rPr>
  </w:style>
  <w:style w:type="character" w:styleId="Nivel3Char" w:customStyle="1">
    <w:name w:val="Nivel 3 Char"/>
    <w:basedOn w:val="DefaultParagraphFont"/>
    <w:link w:val="Nivel3"/>
    <w:qFormat/>
    <w:rsid w:val="005d30b6"/>
    <w:rPr>
      <w:rFonts w:ascii="Arial" w:hAnsi="Arial" w:cs="Arial"/>
      <w:color w:val="000000"/>
      <w:lang w:eastAsia="pt-BR"/>
    </w:rPr>
  </w:style>
  <w:style w:type="character" w:styleId="Nvel3RChar" w:customStyle="1">
    <w:name w:val="Nível 3-R Char"/>
    <w:basedOn w:val="Nivel3Char"/>
    <w:link w:val="Nvel3-R"/>
    <w:qFormat/>
    <w:rsid w:val="00775cfb"/>
    <w:rPr>
      <w:rFonts w:ascii="Arial" w:hAnsi="Arial" w:cs="Arial"/>
      <w:i/>
      <w:iCs/>
      <w:color w:val="FF0000"/>
      <w:lang w:eastAsia="pt-BR"/>
    </w:rPr>
  </w:style>
  <w:style w:type="character" w:styleId="Nvel4RChar" w:customStyle="1">
    <w:name w:val="Nível 4-R Char"/>
    <w:basedOn w:val="Nivel4Char"/>
    <w:link w:val="Nvel4-R"/>
    <w:qFormat/>
    <w:rsid w:val="00da3ef1"/>
    <w:rPr>
      <w:rFonts w:ascii="Arial" w:hAnsi="Arial" w:cs="Arial"/>
      <w:i/>
      <w:iCs/>
      <w:color w:val="FF0000"/>
      <w:lang w:eastAsia="pt-BR"/>
    </w:rPr>
  </w:style>
  <w:style w:type="character" w:styleId="Nvel1SemNumChar" w:customStyle="1">
    <w:name w:val="Nível 1-Sem Num Char"/>
    <w:basedOn w:val="Nivel01Char"/>
    <w:link w:val="Nvel1-SemNum"/>
    <w:qFormat/>
    <w:rsid w:val="00881f44"/>
    <w:rPr>
      <w:rFonts w:ascii="Arial" w:hAnsi="Arial" w:eastAsia="" w:cs="Arial" w:eastAsiaTheme="majorEastAsia"/>
      <w:b/>
      <w:bCs/>
      <w:color w:val="FF0000"/>
      <w:spacing w:val="5"/>
      <w:kern w:val="2"/>
      <w:sz w:val="52"/>
      <w:szCs w:val="52"/>
      <w:lang w:eastAsia="pt-BR"/>
    </w:rPr>
  </w:style>
  <w:style w:type="character" w:styleId="PrembuloChar" w:customStyle="1">
    <w:name w:val="Preâmbulo Char"/>
    <w:basedOn w:val="DefaultParagraphFont"/>
    <w:link w:val="Prembulo"/>
    <w:qFormat/>
    <w:rsid w:val="00bb19e4"/>
    <w:rPr>
      <w:rFonts w:ascii="Arial" w:hAnsi="Arial" w:eastAsia="Arial" w:cs="Arial"/>
      <w:bCs/>
      <w:lang w:eastAsia="pt-BR"/>
    </w:rPr>
  </w:style>
  <w:style w:type="character" w:styleId="Mentionnonrsolue1" w:customStyle="1">
    <w:name w:val="Mention non résolue1"/>
    <w:basedOn w:val="DefaultParagraphFont"/>
    <w:uiPriority w:val="99"/>
    <w:semiHidden/>
    <w:unhideWhenUsed/>
    <w:qFormat/>
    <w:rsid w:val="008d252d"/>
    <w:rPr>
      <w:color w:val="605E5C"/>
      <w:shd w:fill="E1DFDD" w:val="clear"/>
    </w:rPr>
  </w:style>
  <w:style w:type="character" w:styleId="Findhit" w:customStyle="1">
    <w:name w:val="findhit"/>
    <w:basedOn w:val="DefaultParagraphFont"/>
    <w:qFormat/>
    <w:rsid w:val="00e66cc3"/>
    <w:rPr/>
  </w:style>
  <w:style w:type="character" w:styleId="Nivel3erroChar" w:customStyle="1">
    <w:name w:val="Nivel 3-erro Char"/>
    <w:basedOn w:val="DefaultParagraphFont"/>
    <w:link w:val="Nivel3-erro"/>
    <w:qFormat/>
    <w:rsid w:val="005b0afb"/>
    <w:rPr>
      <w:rFonts w:ascii="Arial" w:hAnsi="Arial" w:cs="Tahoma"/>
      <w:szCs w:val="24"/>
      <w:lang w:eastAsia="pt-BR"/>
    </w:rPr>
  </w:style>
  <w:style w:type="character" w:styleId="AlteraesChar" w:customStyle="1">
    <w:name w:val="Alterações Char"/>
    <w:basedOn w:val="DefaultParagraphFont"/>
    <w:link w:val="Alteraes"/>
    <w:uiPriority w:val="1"/>
    <w:qFormat/>
    <w:rsid w:val="1414b7f7"/>
    <w:rPr>
      <w:rFonts w:ascii="Arial" w:hAnsi="Arial" w:cs="Arial"/>
      <w:i/>
      <w:iCs/>
      <w:color w:val="0000FF"/>
      <w:lang w:eastAsia="pt-BR"/>
    </w:rPr>
  </w:style>
  <w:style w:type="character" w:styleId="Mention">
    <w:name w:val="Mention"/>
    <w:basedOn w:val="DefaultParagraphFont"/>
    <w:uiPriority w:val="99"/>
    <w:unhideWhenUsed/>
    <w:qFormat/>
    <w:rsid w:val="002804a7"/>
    <w:rPr>
      <w:color w:val="2B579A"/>
      <w:shd w:fill="E6E6E6" w:val="clear"/>
    </w:rPr>
  </w:style>
  <w:style w:type="character" w:styleId="UnresolvedMention">
    <w:name w:val="Unresolved Mention"/>
    <w:basedOn w:val="DefaultParagraphFont"/>
    <w:uiPriority w:val="99"/>
    <w:semiHidden/>
    <w:unhideWhenUsed/>
    <w:qFormat/>
    <w:rsid w:val="00921a92"/>
    <w:rPr>
      <w:color w:val="605E5C"/>
      <w:shd w:fill="E1DFDD" w:val="clear"/>
    </w:rPr>
  </w:style>
  <w:style w:type="character" w:styleId="Nvel1SemNumPretoChar" w:customStyle="1">
    <w:name w:val="Nível 1-Sem Num Preto Char"/>
    <w:basedOn w:val="Nvel1SemNumChar"/>
    <w:link w:val="Nvel1-SemNumPreto"/>
    <w:qFormat/>
    <w:rsid w:val="00036ad7"/>
    <w:rPr>
      <w:rFonts w:ascii="Arial" w:hAnsi="Arial" w:eastAsia="" w:cs="Arial" w:eastAsiaTheme="majorEastAsia"/>
      <w:b/>
      <w:bCs/>
      <w:color w:val="FF0000"/>
      <w:spacing w:val="5"/>
      <w:kern w:val="2"/>
      <w:sz w:val="52"/>
      <w:szCs w:val="52"/>
      <w:lang w:eastAsia="zh-CN" w:bidi="hi-IN"/>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link w:val="CorpodetextoChar"/>
    <w:uiPriority w:val="99"/>
    <w:unhideWhenUsed/>
    <w:rsid w:val="00d30a43"/>
    <w:pPr>
      <w:spacing w:beforeAutospacing="1" w:afterAutospacing="1"/>
    </w:pPr>
    <w:rPr>
      <w:rFonts w:ascii="Times New Roman" w:hAnsi="Times New Roman" w:eastAsia="Times New Roman" w:cs="Times New Roman"/>
    </w:rPr>
  </w:style>
  <w:style w:type="paragraph" w:styleId="Lista">
    <w:name w:val="List"/>
    <w:basedOn w:val="Corpodo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istParagraph">
    <w:name w:val="List Paragraph"/>
    <w:basedOn w:val="Normal"/>
    <w:link w:val="PargrafodaListaChar"/>
    <w:uiPriority w:val="34"/>
    <w:qFormat/>
    <w:rsid w:val="004773fc"/>
    <w:pPr>
      <w:spacing w:before="0" w:after="0"/>
      <w:ind w:left="720" w:hanging="0"/>
      <w:contextualSpacing/>
    </w:pPr>
    <w:r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BalloonText">
    <w:name w:val="Balloon Text"/>
    <w:basedOn w:val="Normal"/>
    <w:link w:val="TextodebaloChar"/>
    <w:uiPriority w:val="99"/>
    <w:qFormat/>
    <w:rsid w:val="003a73c1"/>
    <w:pPr/>
    <w:rPr>
      <w:rFonts w:ascii="Tahoma" w:hAnsi="Tahoma"/>
      <w:sz w:val="16"/>
      <w:szCs w:val="16"/>
    </w:rPr>
  </w:style>
  <w:style w:type="paragraph" w:styleId="Nvel2" w:customStyle="1">
    <w:name w:val="Nível 2"/>
    <w:basedOn w:val="Normal"/>
    <w:next w:val="Normal"/>
    <w:qFormat/>
    <w:rsid w:val="00d30a43"/>
    <w:pPr>
      <w:spacing w:before="0" w:after="120"/>
      <w:jc w:val="both"/>
    </w:pPr>
    <w:rPr>
      <w:rFonts w:ascii="Arial" w:hAnsi="Arial" w:cs="Times New Roman"/>
      <w:b/>
      <w:szCs w:val="20"/>
    </w:rPr>
  </w:style>
  <w:style w:type="paragraph" w:styleId="Quote">
    <w:name w:val="Quote"/>
    <w:basedOn w:val="Normal"/>
    <w:next w:val="Normal"/>
    <w:link w:val="CitaoChar"/>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ascii="Arial" w:hAnsi="Arial" w:eastAsia="Calibri"/>
      <w:i/>
      <w:iCs/>
      <w:color w:val="000000"/>
      <w:sz w:val="20"/>
      <w:lang w:eastAsia="en-US"/>
    </w:rPr>
  </w:style>
  <w:style w:type="paragraph" w:styleId="ListBullet5">
    <w:name w:val="List Bullet 5"/>
    <w:basedOn w:val="Normal"/>
    <w:qFormat/>
    <w:rsid w:val="001a3a05"/>
    <w:pPr>
      <w:numPr>
        <w:ilvl w:val="0"/>
        <w:numId w:val="3"/>
      </w:numPr>
      <w:spacing w:before="0" w:after="0"/>
      <w:contextualSpacing/>
    </w:pPr>
    <w:rPr/>
  </w:style>
  <w:style w:type="paragraph" w:styleId="Notaexplicativa" w:customStyle="1">
    <w:name w:val="Nota explicativa"/>
    <w:basedOn w:val="Quote"/>
    <w:link w:val="NotaexplicativaChar"/>
    <w:qFormat/>
    <w:rsid w:val="00265fb6"/>
    <w:pPr>
      <w:shd w:val="clear" w:fill="FFFFCC"/>
    </w:pPr>
    <w:rPr>
      <w:szCs w:val="20"/>
    </w:rPr>
  </w:style>
  <w:style w:type="paragraph" w:styleId="CabealhoeRodap">
    <w:name w:val="Cabeçalho e Rodapé"/>
    <w:basedOn w:val="Normal"/>
    <w:qFormat/>
    <w:pPr/>
    <w:rPr/>
  </w:style>
  <w:style w:type="paragraph" w:styleId="Cabealho">
    <w:name w:val="Header"/>
    <w:basedOn w:val="Normal"/>
    <w:link w:val="CabealhoChar"/>
    <w:uiPriority w:val="99"/>
    <w:rsid w:val="00ca24fb"/>
    <w:pPr>
      <w:tabs>
        <w:tab w:val="clear" w:pos="408"/>
        <w:tab w:val="center" w:pos="4252" w:leader="none"/>
        <w:tab w:val="right" w:pos="8504" w:leader="none"/>
      </w:tabs>
    </w:pPr>
    <w:rPr/>
  </w:style>
  <w:style w:type="paragraph" w:styleId="Rodap">
    <w:name w:val="Footer"/>
    <w:basedOn w:val="Normal"/>
    <w:link w:val="RodapChar"/>
    <w:uiPriority w:val="99"/>
    <w:rsid w:val="00ca24fb"/>
    <w:pPr>
      <w:tabs>
        <w:tab w:val="clear" w:pos="408"/>
        <w:tab w:val="center" w:pos="4252" w:leader="none"/>
        <w:tab w:val="right" w:pos="8504" w:leader="none"/>
      </w:tabs>
    </w:pPr>
    <w:rPr/>
  </w:style>
  <w:style w:type="paragraph" w:styleId="Annotationtext">
    <w:name w:val="annotation text"/>
    <w:basedOn w:val="Normal"/>
    <w:link w:val="TextodecomentrioChar"/>
    <w:uiPriority w:val="99"/>
    <w:unhideWhenUsed/>
    <w:qFormat/>
    <w:rsid w:val="00d30a43"/>
    <w:pPr/>
    <w:rPr>
      <w:sz w:val="20"/>
      <w:szCs w:val="20"/>
    </w:rPr>
  </w:style>
  <w:style w:type="paragraph" w:styleId="Annotationsubject">
    <w:name w:val="annotation subject"/>
    <w:basedOn w:val="Annotationtext"/>
    <w:next w:val="Annotationtext"/>
    <w:link w:val="AssuntodocomentrioChar"/>
    <w:uiPriority w:val="99"/>
    <w:semiHidden/>
    <w:unhideWhenUsed/>
    <w:qFormat/>
    <w:rsid w:val="00430fdb"/>
    <w:pPr/>
    <w:rPr>
      <w:b/>
      <w:bCs/>
    </w:rPr>
  </w:style>
  <w:style w:type="paragraph" w:styleId="Nivel01" w:customStyle="1">
    <w:name w:val="Nivel 01"/>
    <w:basedOn w:val="Ttulo1"/>
    <w:next w:val="Normal"/>
    <w:link w:val="Nivel01Char"/>
    <w:autoRedefine/>
    <w:qFormat/>
    <w:rsid w:val="00881f44"/>
    <w:pPr>
      <w:tabs>
        <w:tab w:val="clear" w:pos="408"/>
        <w:tab w:val="left" w:pos="567" w:leader="none"/>
      </w:tabs>
      <w:spacing w:lineRule="auto" w:line="276" w:before="126" w:after="6"/>
      <w:ind w:left="0" w:hanging="0"/>
      <w:jc w:val="both"/>
    </w:pPr>
    <w:rPr>
      <w:rFonts w:ascii="Arial" w:hAnsi="Arial" w:cs="Arial"/>
      <w:color w:val="auto"/>
      <w:sz w:val="20"/>
      <w:szCs w:val="20"/>
    </w:rPr>
  </w:style>
  <w:style w:type="paragraph" w:styleId="Nivel01Titulo" w:customStyle="1">
    <w:name w:val="Nivel_01_Titulo"/>
    <w:basedOn w:val="Nivel01"/>
    <w:link w:val="Nivel01TituloChar"/>
    <w:qFormat/>
    <w:rsid w:val="00e967ea"/>
    <w:pPr>
      <w:jc w:val="left"/>
    </w:pPr>
    <w:rPr>
      <w:rFonts w:cs="" w:cstheme="majorBidi"/>
      <w:color w:val="000000" w:themeColor="text1"/>
      <w:spacing w:val="5"/>
      <w:kern w:val="2"/>
      <w:sz w:val="52"/>
      <w:szCs w:val="52"/>
    </w:rPr>
  </w:style>
  <w:style w:type="paragraph" w:styleId="Ttulododocumento">
    <w:name w:val="Title"/>
    <w:basedOn w:val="Normal"/>
    <w:next w:val="Normal"/>
    <w:link w:val="TtuloChar"/>
    <w:qFormat/>
    <w:rsid w:val="007f77ad"/>
    <w:pPr>
      <w:pBdr>
        <w:bottom w:val="single" w:sz="8" w:space="4" w:color="4F81BD"/>
      </w:pBdr>
      <w:spacing w:before="0" w:after="300"/>
      <w:contextualSpacing/>
    </w:pPr>
    <w:rPr>
      <w:rFonts w:ascii="Calibri" w:hAnsi="Calibri" w:eastAsia="" w:cs="" w:asciiTheme="majorHAnsi" w:cstheme="majorBidi" w:eastAsiaTheme="majorEastAsia" w:hAnsiTheme="majorHAnsi"/>
      <w:color w:val="17365D" w:themeColor="text2" w:themeShade="bf"/>
      <w:spacing w:val="5"/>
      <w:kern w:val="2"/>
      <w:sz w:val="52"/>
      <w:szCs w:val="52"/>
    </w:rPr>
  </w:style>
  <w:style w:type="paragraph" w:styleId="PADRO" w:customStyle="1">
    <w:name w:val="PADRÃO"/>
    <w:qFormat/>
    <w:rsid w:val="001e2495"/>
    <w:pPr>
      <w:keepNext w:val="true"/>
      <w:widowControl w:val="false"/>
      <w:shd w:val="clear" w:color="auto" w:fill="FFFFFF"/>
      <w:suppressAutoHyphens w:val="true"/>
      <w:bidi w:val="0"/>
      <w:spacing w:lineRule="auto" w:line="276" w:before="119" w:after="119"/>
      <w:ind w:firstLine="567"/>
      <w:jc w:val="both"/>
      <w:textAlignment w:val="baseline"/>
    </w:pPr>
    <w:rPr>
      <w:rFonts w:ascii="Ecofont_Spranq_eco_Sans" w:hAnsi="Ecofont_Spranq_eco_Sans" w:eastAsia="WenQuanYi Micro Hei" w:cs="Lohit Hindi"/>
      <w:color w:val="auto"/>
      <w:kern w:val="0"/>
      <w:sz w:val="20"/>
      <w:szCs w:val="24"/>
      <w:lang w:val="pt-BR" w:eastAsia="zh-CN" w:bidi="hi-IN"/>
    </w:rPr>
  </w:style>
  <w:style w:type="paragraph" w:styleId="Citao1" w:customStyle="1">
    <w:name w:val="Citação1"/>
    <w:basedOn w:val="Normal"/>
    <w:next w:val="Normal"/>
    <w:link w:val="QuoteChar"/>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eastAsia="Calibri"/>
      <w:i/>
      <w:iCs/>
      <w:color w:val="000000"/>
      <w:sz w:val="20"/>
      <w:szCs w:val="20"/>
      <w:lang w:eastAsia="en-US"/>
    </w:rPr>
  </w:style>
  <w:style w:type="paragraph" w:styleId="Paragraph" w:customStyle="1">
    <w:name w:val="paragraph"/>
    <w:basedOn w:val="Normal"/>
    <w:qFormat/>
    <w:rsid w:val="00d30a43"/>
    <w:pPr>
      <w:spacing w:beforeAutospacing="1" w:afterAutospacing="1"/>
    </w:pPr>
    <w:rPr>
      <w:rFonts w:ascii="Times New Roman" w:hAnsi="Times New Roman" w:eastAsia="Times New Roman" w:cs="Times New Roman"/>
    </w:rPr>
  </w:style>
  <w:style w:type="paragraph" w:styleId="Nivel1" w:customStyle="1">
    <w:name w:val="Nivel1"/>
    <w:basedOn w:val="Ttulo1"/>
    <w:link w:val="Nivel1Char"/>
    <w:qFormat/>
    <w:rsid w:val="00d30a43"/>
    <w:pPr>
      <w:spacing w:lineRule="auto" w:line="276"/>
      <w:ind w:left="357" w:hanging="357"/>
      <w:jc w:val="both"/>
    </w:pPr>
    <w:rPr>
      <w:rFonts w:ascii="Arial" w:hAnsi="Arial" w:cs="Arial"/>
      <w:bCs w:val="false"/>
      <w:color w:val="000000"/>
    </w:rPr>
  </w:style>
  <w:style w:type="paragraph" w:styleId="PargrafodaLista1" w:customStyle="1">
    <w:name w:val="Parágrafo da Lista1"/>
    <w:basedOn w:val="Normal"/>
    <w:qFormat/>
    <w:rsid w:val="00d30a43"/>
    <w:pPr>
      <w:ind w:left="720" w:hanging="0"/>
    </w:pPr>
    <w:rPr>
      <w:rFonts w:eastAsia="Times New Roman" w:cs="Ecofont_Spranq_eco_Sans"/>
    </w:rPr>
  </w:style>
  <w:style w:type="paragraph" w:styleId="Nivel2" w:customStyle="1">
    <w:name w:val="Nivel 2"/>
    <w:basedOn w:val="Normal"/>
    <w:link w:val="Nivel2Char"/>
    <w:autoRedefine/>
    <w:qFormat/>
    <w:rsid w:val="0084242c"/>
    <w:pPr>
      <w:widowControl/>
      <w:numPr>
        <w:ilvl w:val="0"/>
        <w:numId w:val="7"/>
      </w:numPr>
      <w:suppressAutoHyphens w:val="true"/>
      <w:bidi w:val="0"/>
      <w:spacing w:lineRule="auto" w:line="312" w:before="0" w:after="3"/>
      <w:ind w:left="964" w:right="0" w:firstLine="680"/>
      <w:jc w:val="both"/>
    </w:pPr>
    <w:rPr>
      <w:rFonts w:ascii="Arial" w:hAnsi="Arial" w:eastAsia="Arial" w:cs="Arial"/>
      <w:strike w:val="false"/>
      <w:dstrike w:val="false"/>
      <w:color w:val="000000"/>
      <w:sz w:val="20"/>
      <w:szCs w:val="20"/>
    </w:rPr>
  </w:style>
  <w:style w:type="paragraph" w:styleId="Nivel11" w:customStyle="1">
    <w:name w:val="Nivel 1"/>
    <w:basedOn w:val="Nivel2"/>
    <w:next w:val="Nivel2"/>
    <w:qFormat/>
    <w:rsid w:val="003629e4"/>
    <w:pPr>
      <w:numPr>
        <w:ilvl w:val="0"/>
        <w:numId w:val="0"/>
      </w:numPr>
      <w:ind w:left="360" w:right="0" w:hanging="360"/>
    </w:pPr>
    <w:rPr>
      <w:b/>
    </w:rPr>
  </w:style>
  <w:style w:type="paragraph" w:styleId="Nivel3" w:customStyle="1">
    <w:name w:val="Nivel 3"/>
    <w:basedOn w:val="Normal"/>
    <w:link w:val="Nivel3Char"/>
    <w:autoRedefine/>
    <w:qFormat/>
    <w:rsid w:val="005d30b6"/>
    <w:pPr>
      <w:numPr>
        <w:ilvl w:val="0"/>
        <w:numId w:val="2"/>
      </w:numPr>
      <w:spacing w:lineRule="auto" w:line="276" w:before="0" w:after="0"/>
      <w:ind w:left="284" w:hanging="0"/>
      <w:jc w:val="both"/>
    </w:pPr>
    <w:rPr>
      <w:rFonts w:ascii="Arial" w:hAnsi="Arial" w:cs="Arial"/>
      <w:color w:val="000000"/>
      <w:sz w:val="20"/>
      <w:szCs w:val="20"/>
    </w:rPr>
  </w:style>
  <w:style w:type="paragraph" w:styleId="Nivel4" w:customStyle="1">
    <w:name w:val="Nivel 4"/>
    <w:basedOn w:val="Nivel3"/>
    <w:link w:val="Nivel4Char"/>
    <w:autoRedefine/>
    <w:qFormat/>
    <w:rsid w:val="00da3ef1"/>
    <w:pPr>
      <w:ind w:left="567" w:hanging="0"/>
    </w:pPr>
    <w:rPr>
      <w:color w:val="auto"/>
    </w:rPr>
  </w:style>
  <w:style w:type="paragraph" w:styleId="Nivel5" w:customStyle="1">
    <w:name w:val="Nivel 5"/>
    <w:basedOn w:val="Nivel4"/>
    <w:autoRedefine/>
    <w:qFormat/>
    <w:rsid w:val="00da3ef1"/>
    <w:pPr>
      <w:ind w:left="851" w:hanging="0"/>
    </w:pPr>
    <w:rPr/>
  </w:style>
  <w:style w:type="paragraph" w:styleId="Textbody" w:customStyle="1">
    <w:name w:val="textbody"/>
    <w:basedOn w:val="Normal"/>
    <w:qFormat/>
    <w:rsid w:val="00d30a43"/>
    <w:pPr>
      <w:spacing w:beforeAutospacing="1" w:afterAutospacing="1"/>
    </w:pPr>
    <w:rPr>
      <w:rFonts w:ascii="Times New Roman" w:hAnsi="Times New Roman" w:eastAsia="Times New Roman" w:cs="Times New Roman"/>
    </w:rPr>
  </w:style>
  <w:style w:type="paragraph" w:styleId="Em0020ementa" w:customStyle="1">
    <w:name w:val="em_0020ementa"/>
    <w:basedOn w:val="Normal"/>
    <w:qFormat/>
    <w:rsid w:val="00d30a43"/>
    <w:pPr>
      <w:ind w:left="4160" w:hanging="0"/>
      <w:jc w:val="both"/>
    </w:pPr>
    <w:rPr>
      <w:rFonts w:ascii="Times New Roman" w:hAnsi="Times New Roman" w:eastAsia="Times New Roman" w:cs="Times New Roman"/>
      <w:sz w:val="28"/>
      <w:szCs w:val="28"/>
    </w:rPr>
  </w:style>
  <w:style w:type="paragraph" w:styleId="Revision">
    <w:name w:val="Revision"/>
    <w:uiPriority w:val="99"/>
    <w:semiHidden/>
    <w:qFormat/>
    <w:rsid w:val="00d30a43"/>
    <w:pPr>
      <w:widowControl/>
      <w:suppressAutoHyphens w:val="true"/>
      <w:bidi w:val="0"/>
      <w:spacing w:before="0" w:after="0"/>
      <w:jc w:val="left"/>
    </w:pPr>
    <w:rPr>
      <w:rFonts w:ascii="Ecofont_Spranq_eco_Sans" w:hAnsi="Ecofont_Spranq_eco_Sans" w:eastAsia="Times New Roman" w:cs="Tahoma"/>
      <w:color w:val="auto"/>
      <w:kern w:val="0"/>
      <w:sz w:val="24"/>
      <w:szCs w:val="24"/>
      <w:lang w:val="pt-BR" w:eastAsia="pt-BR" w:bidi="ar-SA"/>
    </w:rPr>
  </w:style>
  <w:style w:type="paragraph" w:styleId="Texto1" w:customStyle="1">
    <w:name w:val="texto1"/>
    <w:basedOn w:val="Normal"/>
    <w:qFormat/>
    <w:rsid w:val="00d30a43"/>
    <w:pPr>
      <w:spacing w:beforeAutospacing="1" w:afterAutospacing="1"/>
    </w:pPr>
    <w:rPr>
      <w:rFonts w:ascii="Times New Roman" w:hAnsi="Times New Roman" w:eastAsia="Times New Roman" w:cs="Times New Roman"/>
    </w:rPr>
  </w:style>
  <w:style w:type="paragraph" w:styleId="GradeColoridanfase11" w:customStyle="1">
    <w:name w:val="Grade Colorida - Ênfase 11"/>
    <w:basedOn w:val="Normal"/>
    <w:next w:val="Normal"/>
    <w:link w:val="GradeColorida-nfase1Char"/>
    <w:uiPriority w:val="29"/>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ascii="Arial" w:hAnsi="Arial" w:eastAsia="Calibri" w:cs="Times New Roman"/>
      <w:i/>
      <w:iCs/>
      <w:color w:val="000000"/>
      <w:sz w:val="20"/>
      <w:lang w:eastAsia="en-US"/>
    </w:rPr>
  </w:style>
  <w:style w:type="paragraph" w:styleId="Xwestern" w:customStyle="1">
    <w:name w:val="x_western"/>
    <w:basedOn w:val="Normal"/>
    <w:qFormat/>
    <w:rsid w:val="00d30a43"/>
    <w:pPr>
      <w:spacing w:beforeAutospacing="1" w:afterAutospacing="1"/>
    </w:pPr>
    <w:rPr>
      <w:rFonts w:ascii="Times New Roman" w:hAnsi="Times New Roman" w:eastAsia="Times New Roman" w:cs="Times New Roman"/>
    </w:rPr>
  </w:style>
  <w:style w:type="paragraph" w:styleId="TCUAcitem90" w:customStyle="1">
    <w:name w:val="TCU - Ac - item 9 - §§_0"/>
    <w:basedOn w:val="Normal"/>
    <w:qFormat/>
    <w:rsid w:val="00d30a43"/>
    <w:pPr>
      <w:ind w:firstLine="1134"/>
      <w:jc w:val="both"/>
    </w:pPr>
    <w:rPr>
      <w:rFonts w:ascii="Times New Roman" w:hAnsi="Times New Roman" w:eastAsia="Times New Roman" w:cs="Times New Roman"/>
      <w:szCs w:val="22"/>
      <w:lang w:eastAsia="en-US"/>
    </w:rPr>
  </w:style>
  <w:style w:type="paragraph" w:styleId="Normal1" w:customStyle="1">
    <w:name w:val="Normal_1"/>
    <w:qFormat/>
    <w:rsid w:val="00d30a43"/>
    <w:pPr>
      <w:widowControl/>
      <w:suppressAutoHyphens w:val="true"/>
      <w:bidi w:val="0"/>
      <w:spacing w:before="0" w:after="0"/>
      <w:jc w:val="left"/>
    </w:pPr>
    <w:rPr>
      <w:rFonts w:ascii="Times New Roman" w:hAnsi="Times New Roman" w:eastAsia="Times New Roman" w:cs="Times New Roman"/>
      <w:color w:val="auto"/>
      <w:kern w:val="0"/>
      <w:sz w:val="24"/>
      <w:szCs w:val="22"/>
      <w:lang w:val="pt-BR" w:eastAsia="en-US" w:bidi="ar-SA"/>
    </w:rPr>
  </w:style>
  <w:style w:type="paragraph" w:styleId="Tcuacitem91linha" w:customStyle="1">
    <w:name w:val="tcu_-__ac_-_item_9_-_1ª_linha"/>
    <w:basedOn w:val="Normal"/>
    <w:qFormat/>
    <w:rsid w:val="00d30a43"/>
    <w:pPr>
      <w:spacing w:beforeAutospacing="1" w:afterAutospacing="1"/>
    </w:pPr>
    <w:rPr>
      <w:rFonts w:ascii="Times New Roman" w:hAnsi="Times New Roman" w:eastAsia="Times New Roman" w:cs="Times New Roman"/>
    </w:rPr>
  </w:style>
  <w:style w:type="paragraph" w:styleId="Textojustificadorecuoprimeiralinha" w:customStyle="1">
    <w:name w:val="texto_justificado_recuo_primeira_linha"/>
    <w:basedOn w:val="Normal"/>
    <w:qFormat/>
    <w:rsid w:val="00d30a43"/>
    <w:pPr>
      <w:spacing w:beforeAutospacing="1" w:afterAutospacing="1"/>
    </w:pPr>
    <w:rPr>
      <w:rFonts w:ascii="Times New Roman" w:hAnsi="Times New Roman" w:eastAsia="Times New Roman" w:cs="Times New Roman"/>
    </w:rPr>
  </w:style>
  <w:style w:type="paragraph" w:styleId="Textojustificado" w:customStyle="1">
    <w:name w:val="texto_justificado"/>
    <w:basedOn w:val="Normal"/>
    <w:qFormat/>
    <w:rsid w:val="00d30a43"/>
    <w:pPr>
      <w:spacing w:beforeAutospacing="1" w:afterAutospacing="1"/>
    </w:pPr>
    <w:rPr>
      <w:rFonts w:ascii="Times New Roman" w:hAnsi="Times New Roman" w:eastAsia="Times New Roman" w:cs="Times New Roman"/>
    </w:rPr>
  </w:style>
  <w:style w:type="paragraph" w:styleId="Nvel2Opcional" w:customStyle="1">
    <w:name w:val="Nível 2 Opcional"/>
    <w:basedOn w:val="Nivel2"/>
    <w:link w:val="Nvel2OpcionalChar"/>
    <w:qFormat/>
    <w:rsid w:val="00a831d9"/>
    <w:pPr>
      <w:numPr>
        <w:ilvl w:val="0"/>
        <w:numId w:val="0"/>
      </w:numPr>
      <w:ind w:left="432" w:right="0" w:hanging="432"/>
    </w:pPr>
    <w:rPr>
      <w:rFonts w:eastAsia="Times New Roman"/>
      <w:i/>
      <w:color w:val="FF0000"/>
    </w:rPr>
  </w:style>
  <w:style w:type="paragraph" w:styleId="Nvel3Opcional" w:customStyle="1">
    <w:name w:val="Nível 3 Opcional"/>
    <w:basedOn w:val="Nivel3"/>
    <w:link w:val="Nvel3OpcionalChar"/>
    <w:qFormat/>
    <w:rsid w:val="00a831d9"/>
    <w:pPr>
      <w:numPr>
        <w:ilvl w:val="0"/>
        <w:numId w:val="0"/>
      </w:numPr>
      <w:ind w:left="1072" w:hanging="504"/>
    </w:pPr>
    <w:rPr>
      <w:rFonts w:eastAsia="Times New Roman"/>
      <w:i/>
      <w:iCs/>
      <w:color w:val="FF0000"/>
    </w:rPr>
  </w:style>
  <w:style w:type="paragraph" w:styleId="SombreamentoMdio1nfase31" w:customStyle="1">
    <w:name w:val="Sombreamento Médio 1 - Ênfase 31"/>
    <w:basedOn w:val="Normal"/>
    <w:next w:val="Normal"/>
    <w:qFormat/>
    <w:rsid w:val="00cb3192"/>
    <w:pPr>
      <w:pBdr>
        <w:top w:val="single" w:sz="4" w:space="1" w:color="000080"/>
        <w:left w:val="single" w:sz="4" w:space="4" w:color="000080"/>
        <w:bottom w:val="single" w:sz="4" w:space="1" w:color="000080"/>
        <w:right w:val="single" w:sz="4" w:space="4" w:color="000080"/>
      </w:pBdr>
      <w:shd w:val="clear" w:color="auto" w:fill="FFFFCC"/>
      <w:suppressAutoHyphens w:val="true"/>
      <w:spacing w:before="120" w:after="0"/>
      <w:jc w:val="both"/>
    </w:pPr>
    <w:rPr>
      <w:rFonts w:eastAsia="Calibri"/>
      <w:i/>
      <w:iCs/>
      <w:color w:val="000000"/>
      <w:sz w:val="20"/>
      <w:lang w:eastAsia="zh-CN"/>
    </w:rPr>
  </w:style>
  <w:style w:type="paragraph" w:styleId="Corpo" w:customStyle="1">
    <w:name w:val="corpo"/>
    <w:basedOn w:val="Normal"/>
    <w:qFormat/>
    <w:rsid w:val="00cb3192"/>
    <w:pPr>
      <w:spacing w:beforeAutospacing="1" w:afterAutospacing="1"/>
    </w:pPr>
    <w:rPr>
      <w:rFonts w:ascii="Times New Roman" w:hAnsi="Times New Roman" w:eastAsia="Times New Roman" w:cs="Times New Roman"/>
    </w:rPr>
  </w:style>
  <w:style w:type="paragraph" w:styleId="Itemnivel2" w:customStyle="1">
    <w:name w:val="item_nivel2"/>
    <w:basedOn w:val="Normal"/>
    <w:qFormat/>
    <w:rsid w:val="00cb3192"/>
    <w:pPr>
      <w:spacing w:beforeAutospacing="1" w:afterAutospacing="1"/>
    </w:pPr>
    <w:rPr>
      <w:rFonts w:ascii="Times New Roman" w:hAnsi="Times New Roman" w:eastAsia="Times New Roman" w:cs="Times New Roman"/>
    </w:rPr>
  </w:style>
  <w:style w:type="paragraph" w:styleId="Itemnivel1" w:customStyle="1">
    <w:name w:val="item_nivel1"/>
    <w:basedOn w:val="Normal"/>
    <w:qFormat/>
    <w:rsid w:val="00cb3192"/>
    <w:pPr>
      <w:spacing w:beforeAutospacing="1" w:afterAutospacing="1"/>
    </w:pPr>
    <w:rPr>
      <w:rFonts w:ascii="Times New Roman" w:hAnsi="Times New Roman" w:eastAsia="Times New Roman" w:cs="Times New Roman"/>
    </w:rPr>
  </w:style>
  <w:style w:type="paragraph" w:styleId="Itemalinealetra" w:customStyle="1">
    <w:name w:val="item_alinea_letra"/>
    <w:basedOn w:val="Normal"/>
    <w:qFormat/>
    <w:rsid w:val="00cb3192"/>
    <w:pPr>
      <w:spacing w:beforeAutospacing="1" w:afterAutospacing="1"/>
    </w:pPr>
    <w:rPr>
      <w:rFonts w:ascii="Times New Roman" w:hAnsi="Times New Roman" w:eastAsia="Times New Roman" w:cs="Times New Roman"/>
    </w:rPr>
  </w:style>
  <w:style w:type="paragraph" w:styleId="Standard" w:customStyle="1">
    <w:name w:val="Standard"/>
    <w:qFormat/>
    <w:rsid w:val="00cb3192"/>
    <w:pPr>
      <w:widowControl/>
      <w:suppressAutoHyphens w:val="true"/>
      <w:bidi w:val="0"/>
      <w:spacing w:before="0" w:after="0"/>
      <w:jc w:val="left"/>
    </w:pPr>
    <w:rPr>
      <w:rFonts w:ascii="Liberation Serif" w:hAnsi="Liberation Serif" w:eastAsia="NSimSun" w:cs="Lucida Sans"/>
      <w:color w:val="auto"/>
      <w:kern w:val="2"/>
      <w:sz w:val="24"/>
      <w:szCs w:val="24"/>
      <w:lang w:val="pt-BR" w:eastAsia="zh-CN" w:bidi="hi-IN"/>
    </w:rPr>
  </w:style>
  <w:style w:type="paragraph" w:styleId="Textbody1" w:customStyle="1">
    <w:name w:val="Text body"/>
    <w:basedOn w:val="Standard"/>
    <w:qFormat/>
    <w:rsid w:val="00cb3192"/>
    <w:pPr>
      <w:spacing w:lineRule="auto" w:line="276" w:before="0" w:after="140"/>
    </w:pPr>
    <w:rPr/>
  </w:style>
  <w:style w:type="paragraph" w:styleId="Ou" w:customStyle="1">
    <w:name w:val="ou"/>
    <w:basedOn w:val="ListParagraph"/>
    <w:link w:val="ouChar"/>
    <w:qFormat/>
    <w:rsid w:val="00f93d80"/>
    <w:pPr>
      <w:spacing w:lineRule="auto" w:line="259" w:before="60" w:after="60"/>
      <w:ind w:left="0" w:hanging="0"/>
      <w:contextualSpacing/>
      <w:jc w:val="center"/>
    </w:pPr>
    <w:rPr>
      <w:rFonts w:ascii="Arial" w:hAnsi="Arial" w:eastAsia="Cambria" w:cs="Arial" w:eastAsiaTheme="minorHAnsi"/>
      <w:b/>
      <w:bCs/>
      <w:i/>
      <w:iCs/>
      <w:color w:val="FF0000"/>
      <w:sz w:val="20"/>
      <w:u w:val="single"/>
    </w:rPr>
  </w:style>
  <w:style w:type="paragraph" w:styleId="Douparagraph" w:customStyle="1">
    <w:name w:val="dou-paragraph"/>
    <w:basedOn w:val="Normal"/>
    <w:qFormat/>
    <w:rsid w:val="00cb3192"/>
    <w:pPr>
      <w:spacing w:beforeAutospacing="1" w:afterAutospacing="1"/>
    </w:pPr>
    <w:rPr>
      <w:rFonts w:ascii="Times New Roman" w:hAnsi="Times New Roman" w:eastAsia="Times New Roman" w:cs="Times New Roman"/>
    </w:rPr>
  </w:style>
  <w:style w:type="paragraph" w:styleId="Nvel2Red" w:customStyle="1">
    <w:name w:val="Nível 2 -Red"/>
    <w:basedOn w:val="Nivel2"/>
    <w:link w:val="Nvel2-RedChar"/>
    <w:qFormat/>
    <w:rsid w:val="00da3ef1"/>
    <w:pPr/>
    <w:rPr>
      <w:i/>
      <w:iCs/>
      <w:color w:val="FF0000"/>
    </w:rPr>
  </w:style>
  <w:style w:type="paragraph" w:styleId="Nvel3R" w:customStyle="1">
    <w:name w:val="Nível 3-R"/>
    <w:basedOn w:val="Nivel3"/>
    <w:link w:val="Nvel3-RChar"/>
    <w:autoRedefine/>
    <w:qFormat/>
    <w:rsid w:val="00775cfb"/>
    <w:pPr>
      <w:spacing w:before="114" w:after="114"/>
    </w:pPr>
    <w:rPr>
      <w:i/>
      <w:iCs/>
      <w:color w:val="FF0000"/>
    </w:rPr>
  </w:style>
  <w:style w:type="paragraph" w:styleId="Nvel4R" w:customStyle="1">
    <w:name w:val="Nível 4-R"/>
    <w:basedOn w:val="Nivel4"/>
    <w:link w:val="Nvel4-RChar"/>
    <w:autoRedefine/>
    <w:qFormat/>
    <w:rsid w:val="00da3ef1"/>
    <w:pPr/>
    <w:rPr>
      <w:i/>
      <w:iCs/>
      <w:color w:val="FF0000"/>
    </w:rPr>
  </w:style>
  <w:style w:type="paragraph" w:styleId="Nvel1SemNum" w:customStyle="1">
    <w:name w:val="Nível 1-Sem Num"/>
    <w:basedOn w:val="Nivel01"/>
    <w:link w:val="Nvel1-SemNumChar"/>
    <w:autoRedefine/>
    <w:qFormat/>
    <w:rsid w:val="00881f44"/>
    <w:pPr>
      <w:spacing w:before="240" w:after="120"/>
      <w:outlineLvl w:val="1"/>
    </w:pPr>
    <w:rPr>
      <w:color w:val="000000"/>
    </w:rPr>
  </w:style>
  <w:style w:type="paragraph" w:styleId="Citao2" w:customStyle="1">
    <w:name w:val="citação 2"/>
    <w:basedOn w:val="Quote"/>
    <w:qFormat/>
    <w:rsid w:val="00dc41dd"/>
    <w:pPr>
      <w:shd w:val="clear" w:fill="FFFFCC"/>
      <w:overflowPunct w:val="false"/>
    </w:pPr>
    <w:rPr>
      <w:szCs w:val="20"/>
    </w:rPr>
  </w:style>
  <w:style w:type="paragraph" w:styleId="Prembulo" w:customStyle="1">
    <w:name w:val="Preâmbulo"/>
    <w:basedOn w:val="Normal"/>
    <w:link w:val="PrembuloChar"/>
    <w:qFormat/>
    <w:rsid w:val="00bb19e4"/>
    <w:pPr>
      <w:spacing w:lineRule="auto" w:line="360" w:before="480" w:after="120"/>
      <w:ind w:left="4253" w:right="-17" w:hanging="0"/>
      <w:jc w:val="both"/>
    </w:pPr>
    <w:rPr>
      <w:rFonts w:ascii="Arial" w:hAnsi="Arial" w:eastAsia="Arial" w:cs="Arial"/>
      <w:bCs/>
      <w:sz w:val="20"/>
      <w:szCs w:val="20"/>
    </w:rPr>
  </w:style>
  <w:style w:type="paragraph" w:styleId="Nivel3erro" w:customStyle="1">
    <w:name w:val="Nivel 3-erro"/>
    <w:basedOn w:val="Nivel3"/>
    <w:link w:val="Nivel3-erroChar"/>
    <w:qFormat/>
    <w:rsid w:val="005b0afb"/>
    <w:pPr>
      <w:numPr>
        <w:ilvl w:val="0"/>
        <w:numId w:val="1"/>
      </w:numPr>
      <w:spacing w:lineRule="auto" w:line="240"/>
      <w:ind w:left="425" w:hanging="0"/>
    </w:pPr>
    <w:rPr>
      <w:rFonts w:cs="Tahoma"/>
      <w:color w:val="auto"/>
      <w:szCs w:val="24"/>
    </w:rPr>
  </w:style>
  <w:style w:type="paragraph" w:styleId="Alteraes" w:customStyle="1">
    <w:name w:val="Alterações"/>
    <w:basedOn w:val="Normal"/>
    <w:link w:val="AlteraesChar"/>
    <w:uiPriority w:val="1"/>
    <w:qFormat/>
    <w:rsid w:val="1414b7f7"/>
    <w:pPr>
      <w:spacing w:lineRule="auto" w:line="276" w:before="120" w:after="120"/>
      <w:jc w:val="both"/>
      <w:outlineLvl w:val="1"/>
    </w:pPr>
    <w:rPr>
      <w:rFonts w:ascii="Arial" w:hAnsi="Arial" w:cs="Arial"/>
      <w:i/>
      <w:iCs/>
      <w:color w:val="0000FF"/>
      <w:sz w:val="20"/>
      <w:szCs w:val="20"/>
    </w:rPr>
  </w:style>
  <w:style w:type="paragraph" w:styleId="Nvel1SemNumPreto" w:customStyle="1">
    <w:name w:val="Nível 1-Sem Num Preto"/>
    <w:basedOn w:val="Nvel1SemNum"/>
    <w:link w:val="Nvel1-SemNumPretoChar"/>
    <w:qFormat/>
    <w:rsid w:val="00036ad7"/>
    <w:pPr/>
    <w:rPr>
      <w:color w:val="auto"/>
      <w:lang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NoList" w:default="1">
    <w:name w:val="No List"/>
    <w:uiPriority w:val="99"/>
    <w:semiHidden/>
    <w:unhideWhenUsed/>
    <w:qFormat/>
  </w:style>
  <w:style w:type="numbering" w:styleId="Estilo1" w:customStyle="1">
    <w:name w:val="Estilo1"/>
    <w:uiPriority w:val="99"/>
    <w:qFormat/>
    <w:rsid w:val="008c6874"/>
  </w:style>
  <w:style w:type="numbering" w:styleId="Estilo2" w:customStyle="1">
    <w:name w:val="Estilo2"/>
    <w:uiPriority w:val="99"/>
    <w:qFormat/>
    <w:rsid w:val="00a72b79"/>
  </w:style>
  <w:style w:type="numbering" w:styleId="Estilo3" w:customStyle="1">
    <w:name w:val="Estilo3"/>
    <w:uiPriority w:val="99"/>
    <w:qFormat/>
    <w:rsid w:val="00a72b79"/>
  </w:style>
  <w:style w:type="numbering" w:styleId="Estilo4" w:customStyle="1">
    <w:name w:val="Estilo4"/>
    <w:uiPriority w:val="99"/>
    <w:qFormat/>
    <w:rsid w:val="0054016d"/>
  </w:style>
  <w:style w:type="numbering" w:styleId="Estilo5" w:customStyle="1">
    <w:name w:val="Estilo5"/>
    <w:uiPriority w:val="99"/>
    <w:qFormat/>
    <w:rsid w:val="0054016d"/>
  </w:style>
  <w:style w:type="numbering" w:styleId="Estilo6" w:customStyle="1">
    <w:name w:val="Estilo6"/>
    <w:uiPriority w:val="99"/>
    <w:qFormat/>
    <w:rsid w:val="0054016d"/>
  </w:style>
  <w:style w:type="table" w:default="1" w:styleId="Tabelanormal">
    <w:name w:val="Normal Table"/>
    <w:uiPriority w:val="99"/>
    <w:semiHidden/>
    <w:unhideWhenUsed/>
    <w:tblPr>
      <w:tblCellMar>
        <w:top w:w="0" w:type="dxa"/>
        <w:left w:w="108" w:type="dxa"/>
        <w:bottom w:w="0" w:type="dxa"/>
        <w:right w:w="108" w:type="dxa"/>
      </w:tblCellMar>
    </w:tblPr>
  </w:style>
  <w:style w:type="table" w:styleId="Tabelacomgrade">
    <w:name w:val="Table Grid"/>
    <w:basedOn w:val="Tabelanormal"/>
    <w:uiPriority w:val="39"/>
    <w:rsid w:val="00db542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wmf"/><Relationship Id="rId3" Type="http://schemas.openxmlformats.org/officeDocument/2006/relationships/hyperlink" Target="https://in.gov.br/en/web/dou/-/instrucao-normativa-seges/me-n-77-de-4-de-novembro-de-2022-441681061" TargetMode="External"/><Relationship Id="rId4" Type="http://schemas.openxmlformats.org/officeDocument/2006/relationships/hyperlink" Target="https://www.planalto.gov.br/ccivil_03/leis/lcp/lcp123.htm" TargetMode="External"/><Relationship Id="rId5" Type="http://schemas.openxmlformats.org/officeDocument/2006/relationships/hyperlink" Target="https://www.gov.br/compras/pt-br/acesso-a-informacao/legislacao/instrucoes-normativas/instrucao-normativa-no-53-de-8-de-julho-de-2020" TargetMode="External"/><Relationship Id="rId6" Type="http://schemas.openxmlformats.org/officeDocument/2006/relationships/hyperlink" Target="http://www.planalto.gov.br/ccivil_03/AGU/Pareceres/2019-2022/PRC-JL-01-2020.htm" TargetMode="External"/><Relationship Id="rId7" Type="http://schemas.openxmlformats.org/officeDocument/2006/relationships/hyperlink" Target="https://www.gov.br/empresas-e-negocios/pt-br/empreendedor" TargetMode="External"/><Relationship Id="rId8" Type="http://schemas.openxmlformats.org/officeDocument/2006/relationships/hyperlink" Target="https://www.gov.br/economia/pt-br/assuntos/drei/legislacao/arquivos/legislacoes-federais/indrei772020.pdf" TargetMode="External"/><Relationship Id="rId9" Type="http://schemas.openxmlformats.org/officeDocument/2006/relationships/hyperlink" Target="https://www.gov.br/trabalho-e-previdencia/pt-br/servicos/empregador/programa-de-alimentacao-do-trabalhador-pat/arquivos-legislacao/instrucoes-normativas/pat_in_971_2009.pdf" TargetMode="External"/><Relationship Id="rId10" Type="http://schemas.openxmlformats.org/officeDocument/2006/relationships/header" Target="header1.xml"/><Relationship Id="rId11" Type="http://schemas.openxmlformats.org/officeDocument/2006/relationships/footer" Target="footer1.xml"/><Relationship Id="rId12" Type="http://schemas.openxmlformats.org/officeDocument/2006/relationships/numbering" Target="numbering.xml"/><Relationship Id="rId13" Type="http://schemas.openxmlformats.org/officeDocument/2006/relationships/fontTable" Target="fontTable.xml"/><Relationship Id="rId14" Type="http://schemas.openxmlformats.org/officeDocument/2006/relationships/settings" Target="settings.xml"/><Relationship Id="rId15" Type="http://schemas.openxmlformats.org/officeDocument/2006/relationships/theme" Target="theme/theme1.xml"/><Relationship Id="rId16" Type="http://schemas.openxmlformats.org/officeDocument/2006/relationships/customXml" Target="../customXml/item1.xml"/><Relationship Id="rId17" Type="http://schemas.openxmlformats.org/officeDocument/2006/relationships/customXml" Target="../customXml/item2.xml"/><Relationship Id="rId18" Type="http://schemas.openxmlformats.org/officeDocument/2006/relationships/customXml" Target="../customXml/item3.xml"/><Relationship Id="rId1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099eeed-182b-4607-ad39-2b3e131c9b2e"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82281FE09FF7E246B4A010428826EACD" ma:contentTypeVersion="17" ma:contentTypeDescription="Create a new document." ma:contentTypeScope="" ma:versionID="b003d4eb5481ce2a934683dda7d097aa">
  <xsd:schema xmlns:xsd="http://www.w3.org/2001/XMLSchema" xmlns:xs="http://www.w3.org/2001/XMLSchema" xmlns:p="http://schemas.microsoft.com/office/2006/metadata/properties" xmlns:ns3="5099eeed-182b-4607-ad39-2b3e131c9b2e" xmlns:ns4="07728d20-334d-42fe-abf5-f78ba2c1b7a4" targetNamespace="http://schemas.microsoft.com/office/2006/metadata/properties" ma:root="true" ma:fieldsID="1bd5537cf039064f937dd115c58a3ec5" ns3:_="" ns4:_="">
    <xsd:import namespace="5099eeed-182b-4607-ad39-2b3e131c9b2e"/>
    <xsd:import namespace="07728d20-334d-42fe-abf5-f78ba2c1b7a4"/>
    <xsd:element name="properties">
      <xsd:complexType>
        <xsd:sequence>
          <xsd:element name="documentManagement">
            <xsd:complexType>
              <xsd:all>
                <xsd:element ref="ns3:MediaServiceMetadata" minOccurs="0"/>
                <xsd:element ref="ns3:MediaServiceFastMetadata" minOccurs="0"/>
                <xsd:element ref="ns3:MediaServiceDateTaken"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99eeed-182b-4607-ad39-2b3e131c9b2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7728d20-334d-42fe-abf5-f78ba2c1b7a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3D4A4E-AF89-4210-8CFC-645A11A9A509}">
  <ds:schemaRefs>
    <ds:schemaRef ds:uri="http://schemas.microsoft.com/office/2006/metadata/properties"/>
    <ds:schemaRef ds:uri="http://schemas.microsoft.com/office/infopath/2007/PartnerControls"/>
    <ds:schemaRef ds:uri="5099eeed-182b-4607-ad39-2b3e131c9b2e"/>
  </ds:schemaRefs>
</ds:datastoreItem>
</file>

<file path=customXml/itemProps2.xml><?xml version="1.0" encoding="utf-8"?>
<ds:datastoreItem xmlns:ds="http://schemas.openxmlformats.org/officeDocument/2006/customXml" ds:itemID="{15E36662-ABDA-4499-9690-AB4396A4B21B}">
  <ds:schemaRefs>
    <ds:schemaRef ds:uri="http://schemas.openxmlformats.org/officeDocument/2006/bibliography"/>
  </ds:schemaRefs>
</ds:datastoreItem>
</file>

<file path=customXml/itemProps3.xml><?xml version="1.0" encoding="utf-8"?>
<ds:datastoreItem xmlns:ds="http://schemas.openxmlformats.org/officeDocument/2006/customXml" ds:itemID="{F417141D-E18C-4F8D-B1B4-DCBF975889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99eeed-182b-4607-ad39-2b3e131c9b2e"/>
    <ds:schemaRef ds:uri="07728d20-334d-42fe-abf5-f78ba2c1b7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A7BC89-5B8C-4EEE-8246-9B4C054A528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145</TotalTime>
  <Application>LibreOffice/7.0.6.2$Windows_X86_64 LibreOffice_project/144abb84a525d8e30c9dbbefa69cbbf2d8d4ae3b</Application>
  <AppVersion>15.0000</AppVersion>
  <Pages>32</Pages>
  <Words>11600</Words>
  <Characters>64186</Characters>
  <CharactersWithSpaces>75135</CharactersWithSpaces>
  <Paragraphs>1009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2023-12-21T22:05:00Z</dcterms:created>
  <dc:creator/>
  <dc:description/>
  <dc:language>pt-BR</dc:language>
  <cp:lastModifiedBy/>
  <dcterms:modified xsi:type="dcterms:W3CDTF">2024-04-05T14:56:36Z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0x01010082281FE09FF7E246B4A010428826EACD</vt:lpwstr>
  </property>
</Properties>
</file>