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embeddings/oleObject1.bin" ContentType="application/vnd.openxmlformats-officedocument.oleObject"/>
  <Override PartName="/word/header1.xml" ContentType="application/vnd.openxmlformats-officedocument.wordprocessingml.header+xml"/>
  <Override PartName="/word/media/image1.png" ContentType="image/png"/>
  <Override PartName="/word/media/image2.png" ContentType="image/png"/>
  <Override PartName="/word/header2.xml" ContentType="application/vnd.openxmlformats-officedocument.wordprocessingml.header+xml"/>
  <Override PartName="/word/comments.xml" ContentType="application/vnd.openxmlformats-officedocument.wordprocessingml.comment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2.xml" ContentType="application/xml"/>
  <Override PartName="/customXml/itemProps1.xml" ContentType="application/vnd.openxmlformats-officedocument.customXmlProperties+xml"/>
  <Override PartName="/customXml/item3.xml" ContentType="application/xml"/>
  <Override PartName="/customXml/itemProps2.xml" ContentType="application/vnd.openxmlformats-officedocument.customXmlProperties+xml"/>
  <Override PartName="/customXml/item4.xml" ContentType="application/xml"/>
  <Override PartName="/customXml/itemProps3.xml" ContentType="application/vnd.openxmlformats-officedocument.customXmlProperties+xml"/>
  <Override PartName="/customXml/itemProps4.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Arial" w:hAnsi="Arial" w:cs="Arial"/>
          <w:color w:val="5B5B5F"/>
          <w:sz w:val="36"/>
          <w:szCs w:val="36"/>
        </w:rPr>
      </w:pPr>
      <w:r>
        <w:rPr>
          <w:rFonts w:cs="Arial" w:ascii="Arial" w:hAnsi="Arial"/>
          <w:color w:val="5B5B5F"/>
          <w:sz w:val="36"/>
          <w:szCs w:val="36"/>
        </w:rPr>
      </w:r>
    </w:p>
    <w:p>
      <w:pPr>
        <w:pStyle w:val="Normal"/>
        <w:rPr>
          <w:rFonts w:ascii="Arial" w:hAnsi="Arial" w:cs="Arial"/>
          <w:color w:val="5B5B5F"/>
          <w:sz w:val="36"/>
          <w:szCs w:val="36"/>
        </w:rPr>
      </w:pPr>
      <w:r>
        <w:rPr>
          <w:rFonts w:cs="Arial" w:ascii="Arial" w:hAnsi="Arial"/>
          <w:color w:val="5B5B5F"/>
          <w:sz w:val="36"/>
          <w:szCs w:val="36"/>
        </w:rPr>
      </w:r>
    </w:p>
    <w:p>
      <w:pPr>
        <w:pStyle w:val="Normal"/>
        <w:rPr>
          <w:rFonts w:ascii="Arial" w:hAnsi="Arial" w:cs="Arial"/>
          <w:color w:val="5B5B5F"/>
          <w:sz w:val="36"/>
          <w:szCs w:val="36"/>
        </w:rPr>
      </w:pPr>
      <w:r>
        <w:rPr>
          <w:rFonts w:cs="Arial" w:ascii="Arial" w:hAnsi="Arial"/>
          <w:color w:val="5B5B5F"/>
          <w:sz w:val="36"/>
          <w:szCs w:val="36"/>
        </w:rPr>
      </w:r>
    </w:p>
    <w:p>
      <w:pPr>
        <w:pStyle w:val="Normal"/>
        <w:rPr>
          <w:rFonts w:ascii="Arial" w:hAnsi="Arial" w:cs="Arial"/>
          <w:b/>
          <w:b/>
          <w:bCs/>
          <w:color w:val="405CA1"/>
          <w:sz w:val="56"/>
          <w:szCs w:val="56"/>
        </w:rPr>
      </w:pPr>
      <w:r>
        <w:rPr>
          <w:rFonts w:cs="Arial" w:ascii="Arial" w:hAnsi="Arial"/>
          <w:color w:val="405CA1"/>
          <w:sz w:val="56"/>
          <w:szCs w:val="56"/>
        </w:rPr>
        <w:t>PREGÃO</w:t>
      </w:r>
    </w:p>
    <w:p>
      <w:pPr>
        <w:pStyle w:val="Normal"/>
        <w:rPr>
          <w:rFonts w:ascii="Arial" w:hAnsi="Arial" w:cs="Arial"/>
          <w:b/>
          <w:b/>
          <w:bCs/>
          <w:color w:val="405CA1"/>
          <w:sz w:val="56"/>
          <w:szCs w:val="56"/>
        </w:rPr>
      </w:pPr>
      <w:r>
        <w:rPr>
          <w:rFonts w:cs="Arial" w:ascii="Arial" w:hAnsi="Arial"/>
          <w:color w:val="405CA1"/>
          <w:sz w:val="56"/>
          <w:szCs w:val="56"/>
        </w:rPr>
        <w:t>ELETRÔNICO</w:t>
      </w:r>
    </w:p>
    <w:p>
      <w:pPr>
        <w:pStyle w:val="Normal"/>
        <w:rPr>
          <w:rFonts w:ascii="Arial" w:hAnsi="Arial" w:cs="Arial"/>
          <w:b/>
          <w:b/>
          <w:bCs/>
          <w:i w:val="false"/>
          <w:i w:val="false"/>
          <w:iCs w:val="false"/>
          <w:color w:val="000000"/>
          <w:sz w:val="28"/>
          <w:szCs w:val="28"/>
          <w:lang w:eastAsia="pt-BR"/>
        </w:rPr>
      </w:pPr>
      <w:r>
        <w:rPr>
          <w:rFonts w:cs="Arial" w:ascii="Arial" w:hAnsi="Arial"/>
          <w:b/>
          <w:bCs/>
          <w:i w:val="false"/>
          <w:iCs w:val="false"/>
          <w:color w:val="000000"/>
          <w:sz w:val="28"/>
          <w:szCs w:val="28"/>
          <w:lang w:eastAsia="pt-BR"/>
        </w:rPr>
        <w:t>03/2024</w:t>
      </w:r>
    </w:p>
    <w:p>
      <w:pPr>
        <w:pStyle w:val="Normal"/>
        <w:spacing w:lineRule="auto" w:line="259"/>
        <w:rPr>
          <w:rFonts w:ascii="Arial" w:hAnsi="Arial" w:cs="Arial"/>
          <w:b/>
          <w:b/>
          <w:bCs/>
          <w:color w:val="405CA1"/>
          <w:sz w:val="28"/>
          <w:szCs w:val="28"/>
        </w:rPr>
      </w:pPr>
      <w:r>
        <w:rPr>
          <w:rFonts w:cs="Arial" w:ascii="Arial" w:hAnsi="Arial"/>
          <w:b/>
          <w:bCs/>
          <w:color w:val="405CA1"/>
          <w:sz w:val="28"/>
          <w:szCs w:val="28"/>
        </w:rPr>
      </w:r>
    </w:p>
    <w:p>
      <w:pPr>
        <w:pStyle w:val="Normal"/>
        <w:spacing w:lineRule="auto" w:line="259"/>
        <w:rPr>
          <w:rFonts w:ascii="Arial" w:hAnsi="Arial" w:cs="Arial"/>
          <w:b/>
          <w:b/>
          <w:bCs/>
          <w:color w:val="405CA1"/>
          <w:sz w:val="26"/>
          <w:szCs w:val="26"/>
        </w:rPr>
      </w:pPr>
      <w:r>
        <w:rPr>
          <w:rFonts w:cs="Arial" w:ascii="Arial" w:hAnsi="Arial"/>
          <w:b/>
          <w:bCs/>
          <w:color w:val="405CA1"/>
          <w:sz w:val="32"/>
          <w:szCs w:val="32"/>
        </w:rPr>
        <w:t>CONTRATANTE</w:t>
      </w:r>
      <w:r>
        <w:rPr>
          <w:rFonts w:cs="Arial" w:ascii="Arial" w:hAnsi="Arial"/>
          <w:b/>
          <w:bCs/>
          <w:color w:val="405CA1"/>
          <w:sz w:val="26"/>
          <w:szCs w:val="26"/>
        </w:rPr>
        <w:t xml:space="preserve"> (UASG)</w:t>
      </w:r>
    </w:p>
    <w:p>
      <w:pPr>
        <w:pStyle w:val="Normal"/>
        <w:rPr>
          <w:rFonts w:ascii="Arial" w:hAnsi="Arial" w:cs="Arial"/>
          <w:b/>
          <w:b/>
          <w:bCs/>
          <w:color w:val="000000"/>
          <w:sz w:val="28"/>
          <w:szCs w:val="28"/>
          <w:lang w:eastAsia="pt-BR"/>
        </w:rPr>
      </w:pPr>
      <w:r>
        <w:rPr>
          <w:rFonts w:cs="Arial" w:ascii="Arial" w:hAnsi="Arial"/>
          <w:b/>
          <w:bCs/>
          <w:color w:val="000000"/>
          <w:sz w:val="28"/>
          <w:szCs w:val="28"/>
          <w:lang w:eastAsia="pt-BR"/>
        </w:rPr>
        <w:t>(160200)</w:t>
      </w:r>
    </w:p>
    <w:p>
      <w:pPr>
        <w:pStyle w:val="Normal"/>
        <w:rPr>
          <w:rFonts w:ascii="Arial" w:hAnsi="Arial" w:cs="Arial"/>
          <w:color w:val="5B5B5F"/>
          <w:sz w:val="26"/>
          <w:szCs w:val="26"/>
        </w:rPr>
      </w:pPr>
      <w:r>
        <w:rPr>
          <w:rFonts w:cs="Arial" w:ascii="Arial" w:hAnsi="Arial"/>
          <w:color w:val="5B5B5F"/>
          <w:sz w:val="26"/>
          <w:szCs w:val="26"/>
        </w:rPr>
      </w:r>
    </w:p>
    <w:p>
      <w:pPr>
        <w:pStyle w:val="Normal"/>
        <w:rPr>
          <w:rFonts w:ascii="Arial" w:hAnsi="Arial" w:cs="Arial"/>
          <w:b/>
          <w:b/>
          <w:bCs/>
          <w:color w:val="405CA1"/>
          <w:sz w:val="32"/>
          <w:szCs w:val="32"/>
        </w:rPr>
      </w:pPr>
      <w:r>
        <w:rPr>
          <w:rFonts w:cs="Arial" w:ascii="Arial" w:hAnsi="Arial"/>
          <w:b/>
          <w:bCs/>
          <w:color w:val="405CA1"/>
          <w:sz w:val="32"/>
          <w:szCs w:val="32"/>
        </w:rPr>
      </w:r>
    </w:p>
    <w:p>
      <w:pPr>
        <w:pStyle w:val="Normal"/>
        <w:rPr>
          <w:rFonts w:ascii="Arial" w:hAnsi="Arial" w:cs="Arial"/>
          <w:b/>
          <w:b/>
          <w:bCs/>
          <w:color w:val="5B5B5F"/>
          <w:sz w:val="26"/>
          <w:szCs w:val="26"/>
        </w:rPr>
      </w:pPr>
      <w:r>
        <w:rPr>
          <w:rFonts w:cs="Arial" w:ascii="Arial" w:hAnsi="Arial"/>
          <w:b/>
          <w:bCs/>
          <w:color w:val="405CA1"/>
          <w:sz w:val="32"/>
          <w:szCs w:val="32"/>
        </w:rPr>
        <w:t>OBJETO</w:t>
      </w:r>
    </w:p>
    <w:p>
      <w:pPr>
        <w:pStyle w:val="Normal"/>
        <w:jc w:val="both"/>
        <w:rPr>
          <w:shd w:fill="FFFFFF" w:val="clear"/>
        </w:rPr>
      </w:pPr>
      <w:r>
        <w:rPr>
          <w:rFonts w:cs="Arial" w:ascii="Arial" w:hAnsi="Arial"/>
          <w:b/>
          <w:bCs/>
          <w:color w:val="000000"/>
          <w:sz w:val="28"/>
          <w:szCs w:val="28"/>
          <w:shd w:fill="FFFFFF" w:val="clear"/>
        </w:rPr>
        <w:t>Aquisição de peças de viaturas genuínas ou originais que atendam a norma da ABNT 15296 -  GCALC 7ª RM compreendendo as Guarnições de Recife, Olinda e Jaboatão dos Guararapes e unidades autorizadas pelo Comando da 7ª RM.</w:t>
      </w:r>
    </w:p>
    <w:p>
      <w:pPr>
        <w:pStyle w:val="Normal"/>
        <w:rPr>
          <w:rFonts w:ascii="Arial" w:hAnsi="Arial" w:cs="Arial"/>
          <w:color w:val="5B5B5F"/>
          <w:sz w:val="28"/>
          <w:szCs w:val="28"/>
        </w:rPr>
      </w:pPr>
      <w:r>
        <w:rPr>
          <w:rFonts w:cs="Arial" w:ascii="Arial" w:hAnsi="Arial"/>
          <w:color w:val="5B5B5F"/>
          <w:sz w:val="28"/>
          <w:szCs w:val="28"/>
        </w:rPr>
      </w:r>
    </w:p>
    <w:p>
      <w:pPr>
        <w:pStyle w:val="Normal"/>
        <w:rPr>
          <w:rFonts w:ascii="Arial" w:hAnsi="Arial" w:cs="Arial"/>
          <w:color w:val="5B5B5F"/>
          <w:sz w:val="28"/>
          <w:szCs w:val="28"/>
        </w:rPr>
      </w:pPr>
      <w:r>
        <w:rPr>
          <w:rFonts w:cs="Arial" w:ascii="Arial" w:hAnsi="Arial"/>
          <w:color w:val="5B5B5F"/>
          <w:sz w:val="28"/>
          <w:szCs w:val="28"/>
        </w:rPr>
      </w:r>
    </w:p>
    <w:p>
      <w:pPr>
        <w:pStyle w:val="Normal"/>
        <w:rPr>
          <w:rFonts w:ascii="Arial" w:hAnsi="Arial" w:cs="Arial"/>
          <w:b/>
          <w:b/>
          <w:bCs/>
          <w:color w:val="405CA1"/>
          <w:sz w:val="26"/>
          <w:szCs w:val="26"/>
        </w:rPr>
      </w:pPr>
      <w:r>
        <w:rPr>
          <w:rFonts w:cs="Arial" w:ascii="Arial" w:hAnsi="Arial"/>
          <w:b/>
          <w:bCs/>
          <w:color w:val="405CA1"/>
          <w:sz w:val="32"/>
          <w:szCs w:val="32"/>
        </w:rPr>
        <w:t>VALOR</w:t>
      </w:r>
      <w:r>
        <w:rPr>
          <w:rFonts w:cs="Arial" w:ascii="Arial" w:hAnsi="Arial"/>
          <w:b/>
          <w:bCs/>
          <w:color w:val="405CA1"/>
          <w:sz w:val="26"/>
          <w:szCs w:val="26"/>
        </w:rPr>
        <w:t xml:space="preserve"> </w:t>
      </w:r>
      <w:r>
        <w:rPr>
          <w:rFonts w:cs="Arial" w:ascii="Arial" w:hAnsi="Arial"/>
          <w:b/>
          <w:bCs/>
          <w:color w:val="405CA1"/>
          <w:sz w:val="32"/>
          <w:szCs w:val="32"/>
        </w:rPr>
        <w:t>TOTAL DA CONTRATAÇÃO</w:t>
      </w:r>
    </w:p>
    <w:p>
      <w:pPr>
        <w:pStyle w:val="Normal"/>
        <w:rPr>
          <w:color w:val="000000"/>
        </w:rPr>
      </w:pPr>
      <w:r>
        <w:rPr>
          <w:rFonts w:cs="Arial" w:ascii="Arial" w:hAnsi="Arial"/>
          <w:b/>
          <w:bCs/>
          <w:color w:val="000000"/>
          <w:sz w:val="28"/>
          <w:szCs w:val="28"/>
        </w:rPr>
        <w:t xml:space="preserve">R$ </w:t>
      </w:r>
      <w:r>
        <w:rPr>
          <w:rFonts w:cs="Arial" w:ascii="Arial" w:hAnsi="Arial"/>
          <w:b/>
          <w:bCs/>
          <w:color w:val="000000"/>
          <w:sz w:val="28"/>
          <w:szCs w:val="28"/>
          <w:lang w:eastAsia="pt-BR"/>
        </w:rPr>
        <w:t>16.073.788,00</w:t>
      </w:r>
    </w:p>
    <w:p>
      <w:pPr>
        <w:pStyle w:val="Normal"/>
        <w:rPr>
          <w:rFonts w:ascii="Arial" w:hAnsi="Arial" w:cs="Arial"/>
          <w:b/>
          <w:b/>
          <w:bCs/>
          <w:color w:val="5B5B5F"/>
          <w:sz w:val="28"/>
          <w:szCs w:val="28"/>
        </w:rPr>
      </w:pPr>
      <w:r>
        <w:rPr>
          <w:rFonts w:cs="Arial" w:ascii="Arial" w:hAnsi="Arial"/>
          <w:b/>
          <w:bCs/>
          <w:color w:val="5B5B5F"/>
          <w:sz w:val="28"/>
          <w:szCs w:val="28"/>
        </w:rPr>
      </w:r>
    </w:p>
    <w:p>
      <w:pPr>
        <w:pStyle w:val="Normal"/>
        <w:rPr>
          <w:rFonts w:ascii="Arial" w:hAnsi="Arial" w:cs="Arial"/>
          <w:color w:val="5B5B5F"/>
          <w:sz w:val="26"/>
          <w:szCs w:val="26"/>
        </w:rPr>
      </w:pPr>
      <w:r>
        <w:rPr>
          <w:rFonts w:cs="Arial" w:ascii="Arial" w:hAnsi="Arial"/>
          <w:color w:val="5B5B5F"/>
          <w:sz w:val="26"/>
          <w:szCs w:val="26"/>
        </w:rPr>
      </w:r>
    </w:p>
    <w:p>
      <w:pPr>
        <w:pStyle w:val="Normal"/>
        <w:rPr>
          <w:rFonts w:ascii="Arial" w:hAnsi="Arial" w:cs="Arial"/>
          <w:b/>
          <w:b/>
          <w:bCs/>
          <w:color w:val="405CA1"/>
          <w:sz w:val="26"/>
          <w:szCs w:val="26"/>
        </w:rPr>
      </w:pPr>
      <w:r>
        <w:rPr>
          <w:rFonts w:cs="Arial" w:ascii="Arial" w:hAnsi="Arial"/>
          <w:b/>
          <w:bCs/>
          <w:color w:val="405CA1"/>
          <w:sz w:val="32"/>
          <w:szCs w:val="32"/>
        </w:rPr>
        <w:t>DATA DA SESSÃO PÚBLICA</w:t>
      </w:r>
    </w:p>
    <w:p>
      <w:pPr>
        <w:pStyle w:val="Normal"/>
        <w:rPr>
          <w:b/>
          <w:b/>
          <w:bCs/>
          <w:color w:val="1B1B1B"/>
        </w:rPr>
      </w:pPr>
      <w:r>
        <w:rPr>
          <w:rFonts w:cs="Arial" w:ascii="Arial" w:hAnsi="Arial"/>
          <w:b/>
          <w:bCs/>
          <w:color w:val="1B1B1B"/>
          <w:sz w:val="28"/>
          <w:szCs w:val="28"/>
        </w:rPr>
        <w:t>Dia XX/0</w:t>
      </w:r>
      <w:r>
        <w:rPr>
          <w:rFonts w:cs="Arial" w:ascii="Arial" w:hAnsi="Arial"/>
          <w:b/>
          <w:bCs/>
          <w:color w:val="1B1B1B"/>
          <w:sz w:val="28"/>
          <w:szCs w:val="28"/>
          <w:lang w:eastAsia="pt-BR"/>
        </w:rPr>
        <w:t>4</w:t>
      </w:r>
      <w:r>
        <w:rPr>
          <w:rFonts w:cs="Arial" w:ascii="Arial" w:hAnsi="Arial"/>
          <w:b/>
          <w:bCs/>
          <w:color w:val="1B1B1B"/>
          <w:sz w:val="28"/>
          <w:szCs w:val="28"/>
        </w:rPr>
        <w:t>/202</w:t>
      </w:r>
      <w:r>
        <w:rPr>
          <w:rFonts w:cs="Arial" w:ascii="Arial" w:hAnsi="Arial"/>
          <w:b/>
          <w:bCs/>
          <w:color w:val="1B1B1B"/>
          <w:sz w:val="28"/>
          <w:szCs w:val="28"/>
          <w:lang w:eastAsia="pt-BR"/>
        </w:rPr>
        <w:t>4</w:t>
      </w:r>
      <w:r>
        <w:rPr>
          <w:rFonts w:cs="Arial" w:ascii="Arial" w:hAnsi="Arial"/>
          <w:b/>
          <w:bCs/>
          <w:color w:val="1B1B1B"/>
          <w:sz w:val="28"/>
          <w:szCs w:val="28"/>
        </w:rPr>
        <w:t xml:space="preserve"> às 09:00h (horário de Brasília)</w:t>
      </w:r>
    </w:p>
    <w:p>
      <w:pPr>
        <w:pStyle w:val="Normal"/>
        <w:rPr>
          <w:rFonts w:ascii="Arial" w:hAnsi="Arial" w:cs="Arial"/>
          <w:b/>
          <w:b/>
          <w:bCs/>
          <w:color w:val="5B5B5F"/>
          <w:sz w:val="26"/>
          <w:szCs w:val="26"/>
        </w:rPr>
      </w:pPr>
      <w:r>
        <w:rPr>
          <w:rFonts w:cs="Arial" w:ascii="Arial" w:hAnsi="Arial"/>
          <w:b/>
          <w:bCs/>
          <w:color w:val="5B5B5F"/>
          <w:sz w:val="26"/>
          <w:szCs w:val="26"/>
        </w:rPr>
      </w:r>
    </w:p>
    <w:p>
      <w:pPr>
        <w:pStyle w:val="Normal"/>
        <w:jc w:val="both"/>
        <w:rPr>
          <w:rFonts w:ascii="Arial" w:hAnsi="Arial" w:cs="Arial"/>
          <w:b/>
          <w:b/>
          <w:bCs/>
          <w:caps/>
          <w:color w:val="405CA1"/>
          <w:sz w:val="32"/>
          <w:szCs w:val="32"/>
        </w:rPr>
      </w:pPr>
      <w:r>
        <w:rPr>
          <w:rFonts w:cs="Arial" w:ascii="Arial" w:hAnsi="Arial"/>
          <w:b/>
          <w:bCs/>
          <w:caps/>
          <w:color w:val="405CA1"/>
          <w:sz w:val="32"/>
          <w:szCs w:val="32"/>
        </w:rPr>
      </w:r>
    </w:p>
    <w:p>
      <w:pPr>
        <w:pStyle w:val="Normal"/>
        <w:jc w:val="both"/>
        <w:rPr>
          <w:rFonts w:ascii="Arial" w:hAnsi="Arial" w:cs="Arial"/>
          <w:caps/>
          <w:color w:val="0000FF"/>
          <w:sz w:val="32"/>
          <w:szCs w:val="32"/>
        </w:rPr>
      </w:pPr>
      <w:r>
        <w:rPr>
          <w:rFonts w:cs="Arial" w:ascii="Arial" w:hAnsi="Arial"/>
          <w:b/>
          <w:bCs/>
          <w:caps/>
          <w:color w:val="405CA1"/>
          <w:sz w:val="32"/>
          <w:szCs w:val="32"/>
        </w:rPr>
        <w:t>Critério de Julgamento:</w:t>
      </w:r>
    </w:p>
    <w:p>
      <w:pPr>
        <w:pStyle w:val="Normal"/>
        <w:jc w:val="both"/>
        <w:rPr>
          <w:b/>
          <w:b/>
          <w:bCs/>
          <w:color w:val="1B1B1B"/>
        </w:rPr>
      </w:pPr>
      <w:r>
        <w:rPr>
          <w:rFonts w:cs="Arial" w:ascii="Arial" w:hAnsi="Arial"/>
          <w:b/>
          <w:bCs/>
          <w:caps/>
          <w:color w:val="1B1B1B" w:themeTint="a6"/>
          <w:sz w:val="28"/>
          <w:szCs w:val="28"/>
        </w:rPr>
        <w:t xml:space="preserve">Maior Desconto </w:t>
      </w:r>
      <w:r>
        <w:rPr>
          <w:rFonts w:cs="Arial" w:ascii="Arial" w:hAnsi="Arial"/>
          <w:b/>
          <w:bCs/>
          <w:caps/>
          <w:color w:val="1B1B1B"/>
          <w:sz w:val="28"/>
          <w:szCs w:val="28"/>
        </w:rPr>
        <w:t xml:space="preserve">Por </w:t>
      </w:r>
      <w:r>
        <w:rPr>
          <w:rFonts w:cs="Arial" w:ascii="Arial" w:hAnsi="Arial"/>
          <w:b/>
          <w:bCs/>
          <w:caps/>
          <w:color w:val="1B1B1B" w:themeTint="a6"/>
          <w:sz w:val="28"/>
          <w:szCs w:val="28"/>
        </w:rPr>
        <w:t>Item</w:t>
      </w:r>
    </w:p>
    <w:p>
      <w:pPr>
        <w:pStyle w:val="Normal"/>
        <w:jc w:val="both"/>
        <w:rPr>
          <w:rFonts w:ascii="Arial" w:hAnsi="Arial" w:cs="Arial"/>
          <w:caps/>
          <w:color w:val="0000FF"/>
          <w:sz w:val="32"/>
          <w:szCs w:val="32"/>
        </w:rPr>
      </w:pPr>
      <w:r>
        <w:rPr/>
      </w:r>
    </w:p>
    <w:p>
      <w:pPr>
        <w:pStyle w:val="Normal"/>
        <w:jc w:val="both"/>
        <w:rPr>
          <w:rFonts w:ascii="Arial" w:hAnsi="Arial" w:cs="Arial"/>
          <w:sz w:val="26"/>
          <w:szCs w:val="26"/>
        </w:rPr>
      </w:pPr>
      <w:r>
        <w:rPr>
          <w:rFonts w:cs="Arial" w:ascii="Arial" w:hAnsi="Arial"/>
          <w:sz w:val="26"/>
          <w:szCs w:val="26"/>
        </w:rPr>
      </w:r>
    </w:p>
    <w:p>
      <w:pPr>
        <w:pStyle w:val="Normal"/>
        <w:jc w:val="both"/>
        <w:rPr>
          <w:rFonts w:ascii="Arial" w:hAnsi="Arial" w:cs="Arial"/>
          <w:caps/>
          <w:sz w:val="32"/>
          <w:szCs w:val="32"/>
        </w:rPr>
      </w:pPr>
      <w:r>
        <w:rPr>
          <w:rFonts w:cs="Arial" w:ascii="Arial" w:hAnsi="Arial"/>
          <w:b/>
          <w:bCs/>
          <w:caps/>
          <w:color w:val="405CA1"/>
          <w:sz w:val="32"/>
          <w:szCs w:val="32"/>
        </w:rPr>
        <w:t>Modo de disputa:</w:t>
      </w:r>
    </w:p>
    <w:p>
      <w:pPr>
        <w:pStyle w:val="Normal"/>
        <w:jc w:val="both"/>
        <w:rPr>
          <w:rFonts w:ascii="Arial" w:hAnsi="Arial" w:cs="Arial"/>
          <w:sz w:val="28"/>
          <w:szCs w:val="28"/>
        </w:rPr>
      </w:pPr>
      <w:r>
        <w:rPr>
          <w:rFonts w:cs="Arial" w:ascii="Arial" w:hAnsi="Arial"/>
          <w:color w:val="595959" w:themeColor="text1" w:themeTint="a6"/>
          <w:sz w:val="28"/>
          <w:szCs w:val="28"/>
        </w:rPr>
        <w:t xml:space="preserve"> </w:t>
      </w:r>
      <w:r>
        <w:rPr>
          <w:rFonts w:cs="Arial" w:ascii="Arial" w:hAnsi="Arial"/>
          <w:b/>
          <w:bCs/>
          <w:color w:val="1B1B1B" w:themeTint="a6"/>
          <w:sz w:val="28"/>
          <w:szCs w:val="28"/>
        </w:rPr>
        <w:t>Aberto e fechado</w:t>
      </w:r>
    </w:p>
    <w:p>
      <w:pPr>
        <w:pStyle w:val="Normal"/>
        <w:rPr>
          <w:rFonts w:ascii="Arial" w:hAnsi="Arial" w:cs="Arial"/>
          <w:color w:val="5B5B5F"/>
          <w:sz w:val="26"/>
          <w:szCs w:val="26"/>
        </w:rPr>
      </w:pPr>
      <w:r>
        <w:rPr>
          <w:rFonts w:cs="Arial" w:ascii="Arial" w:hAnsi="Arial"/>
          <w:color w:val="5B5B5F"/>
          <w:sz w:val="26"/>
          <w:szCs w:val="26"/>
        </w:rPr>
      </w:r>
    </w:p>
    <w:p>
      <w:pPr>
        <w:pStyle w:val="Normal"/>
        <w:rPr>
          <w:rFonts w:ascii="Arial" w:hAnsi="Arial" w:cs="Arial"/>
          <w:b/>
          <w:b/>
          <w:bCs/>
          <w:color w:val="405CA1"/>
          <w:sz w:val="26"/>
          <w:szCs w:val="26"/>
        </w:rPr>
      </w:pPr>
      <w:r>
        <w:rPr>
          <w:rFonts w:cs="Arial" w:ascii="Arial" w:hAnsi="Arial"/>
          <w:b/>
          <w:bCs/>
          <w:color w:val="405CA1"/>
          <w:sz w:val="26"/>
          <w:szCs w:val="26"/>
        </w:rPr>
      </w:r>
    </w:p>
    <w:p>
      <w:pPr>
        <w:pStyle w:val="Normal"/>
        <w:rPr>
          <w:rFonts w:ascii="Arial" w:hAnsi="Arial" w:cs="Arial"/>
          <w:b/>
          <w:b/>
          <w:bCs/>
          <w:color w:val="405CA1"/>
          <w:sz w:val="32"/>
          <w:szCs w:val="32"/>
        </w:rPr>
      </w:pPr>
      <w:r>
        <w:rPr>
          <w:rFonts w:cs="Arial" w:ascii="Arial" w:hAnsi="Arial"/>
          <w:b/>
          <w:bCs/>
          <w:color w:val="405CA1"/>
          <w:sz w:val="32"/>
          <w:szCs w:val="32"/>
        </w:rPr>
        <w:t>PREFERÊNCIA ME/EPP/EQUIPARADAS</w:t>
      </w:r>
    </w:p>
    <w:p>
      <w:pPr>
        <w:pStyle w:val="Normal"/>
        <w:rPr>
          <w:sz w:val="28"/>
          <w:szCs w:val="28"/>
        </w:rPr>
      </w:pPr>
      <w:r>
        <w:rPr>
          <w:rFonts w:cs="Arial" w:ascii="Arial" w:hAnsi="Arial"/>
          <w:b/>
          <w:bCs/>
          <w:color w:val="1B1B1B"/>
          <w:sz w:val="28"/>
          <w:szCs w:val="28"/>
        </w:rPr>
        <w:t>SIM PARA OS ITENS CITADOS NO EDITAL</w:t>
      </w:r>
    </w:p>
    <w:p>
      <w:pPr>
        <w:pStyle w:val="Normal"/>
        <w:rPr>
          <w:rFonts w:ascii="Arial" w:hAnsi="Arial" w:cs="Arial"/>
          <w:b/>
          <w:b/>
          <w:bCs/>
          <w:color w:val="5B5B5F"/>
          <w:sz w:val="28"/>
          <w:szCs w:val="28"/>
        </w:rPr>
      </w:pPr>
      <w:r>
        <w:rPr>
          <w:rFonts w:cs="Arial" w:ascii="Arial" w:hAnsi="Arial"/>
          <w:b/>
          <w:bCs/>
          <w:color w:val="5B5B5F"/>
          <w:sz w:val="28"/>
          <w:szCs w:val="28"/>
        </w:rPr>
      </w:r>
    </w:p>
    <w:p>
      <w:pPr>
        <w:pStyle w:val="Normal"/>
        <w:rPr>
          <w:rFonts w:ascii="Arial" w:hAnsi="Arial" w:cs="Arial"/>
          <w:b/>
          <w:b/>
          <w:bCs/>
          <w:color w:val="5B5B5F"/>
          <w:sz w:val="28"/>
          <w:szCs w:val="28"/>
        </w:rPr>
      </w:pPr>
      <w:r>
        <w:rPr>
          <w:rFonts w:cs="Arial" w:ascii="Arial" w:hAnsi="Arial"/>
          <w:b/>
          <w:bCs/>
          <w:color w:val="5B5B5F"/>
          <w:sz w:val="28"/>
          <w:szCs w:val="28"/>
        </w:rPr>
      </w:r>
    </w:p>
    <w:sdt>
      <w:sdtPr>
        <w:docPartObj>
          <w:docPartGallery w:val="Table of Contents"/>
          <w:docPartUnique w:val="true"/>
        </w:docPartObj>
      </w:sdtPr>
      <w:sdtContent>
        <w:p>
          <w:pPr>
            <w:pStyle w:val="TOCHeading"/>
            <w:rPr>
              <w:rFonts w:ascii="Arial" w:hAnsi="Arial" w:cs="Arial"/>
              <w:sz w:val="22"/>
              <w:szCs w:val="22"/>
            </w:rPr>
          </w:pPr>
          <w:r>
            <w:rPr>
              <w:rFonts w:cs="Arial" w:ascii="Arial" w:hAnsi="Arial"/>
              <w:sz w:val="22"/>
              <w:szCs w:val="22"/>
            </w:rPr>
            <w:t>Sumário</w:t>
          </w:r>
        </w:p>
        <w:p>
          <w:pPr>
            <w:pStyle w:val="Normal"/>
            <w:rPr>
              <w:rFonts w:ascii="Arial" w:hAnsi="Arial" w:cs="Arial"/>
            </w:rPr>
          </w:pPr>
          <w:r>
            <w:rPr>
              <w:rFonts w:cs="Arial" w:ascii="Arial" w:hAnsi="Arial"/>
            </w:rPr>
          </w:r>
        </w:p>
        <w:p>
          <w:pPr>
            <w:pStyle w:val="Sumrio1"/>
            <w:rPr>
              <w:rFonts w:ascii="Cambria" w:hAnsi="Cambria" w:eastAsia="ＭＳ 明朝" w:cs="Arial" w:asciiTheme="minorHAnsi" w:cstheme="minorBidi" w:eastAsiaTheme="minorEastAsia" w:hAnsiTheme="minorHAnsi"/>
              <w:sz w:val="22"/>
              <w:szCs w:val="22"/>
            </w:rPr>
          </w:pPr>
          <w:r>
            <w:fldChar w:fldCharType="begin"/>
          </w:r>
          <w:r>
            <w:rPr>
              <w:webHidden/>
              <w:rStyle w:val="Vnculodendice"/>
              <w:lang w:eastAsia="en-US"/>
            </w:rPr>
            <w:instrText> TOC \z \o "1-3" \u \h</w:instrText>
          </w:r>
          <w:r>
            <w:rPr>
              <w:webHidden/>
              <w:rStyle w:val="Vnculodendice"/>
              <w:lang w:eastAsia="en-US"/>
            </w:rPr>
            <w:fldChar w:fldCharType="separate"/>
          </w:r>
          <w:hyperlink w:anchor="_Toc135469223">
            <w:r>
              <w:rPr>
                <w:webHidden/>
                <w:rStyle w:val="Vnculodendice"/>
                <w:lang w:eastAsia="en-US"/>
              </w:rPr>
              <w:t>1.</w:t>
            </w:r>
            <w:r>
              <w:rPr>
                <w:rStyle w:val="Vnculodendice"/>
                <w:rFonts w:eastAsia="ＭＳ 明朝" w:cs="Arial" w:ascii="Cambria" w:hAnsi="Cambria" w:asciiTheme="minorHAnsi" w:cstheme="minorBidi" w:eastAsiaTheme="minorEastAsia" w:hAnsiTheme="minorHAnsi"/>
                <w:sz w:val="22"/>
                <w:szCs w:val="22"/>
              </w:rPr>
              <w:tab/>
            </w:r>
            <w:r>
              <w:rPr>
                <w:rStyle w:val="Vnculodendice"/>
                <w:lang w:eastAsia="en-US"/>
              </w:rPr>
              <w:t>DO OBJETO</w:t>
            </w:r>
            <w:r>
              <w:rPr>
                <w:webHidden/>
              </w:rPr>
              <w:fldChar w:fldCharType="begin"/>
            </w:r>
            <w:r>
              <w:rPr>
                <w:webHidden/>
              </w:rPr>
              <w:instrText>PAGEREF _Toc135469223 \h</w:instrText>
            </w:r>
            <w:r>
              <w:rPr>
                <w:webHidden/>
              </w:rPr>
              <w:fldChar w:fldCharType="separate"/>
            </w:r>
            <w:r>
              <w:rPr>
                <w:rStyle w:val="Vnculodendice"/>
                <w:vanish w:val="false"/>
              </w:rPr>
              <w:tab/>
              <w:t>3</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24">
            <w:r>
              <w:rPr>
                <w:webHidden/>
                <w:rStyle w:val="Vnculodendice"/>
                <w:highlight w:val="cyan"/>
              </w:rPr>
              <w:t>2.</w:t>
            </w:r>
            <w:r>
              <w:rPr>
                <w:rStyle w:val="Vnculodendice"/>
                <w:rFonts w:eastAsia="ＭＳ 明朝" w:cs="Arial" w:ascii="Cambria" w:hAnsi="Cambria" w:asciiTheme="minorHAnsi" w:cstheme="minorBidi" w:eastAsiaTheme="minorEastAsia" w:hAnsiTheme="minorHAnsi"/>
                <w:sz w:val="22"/>
                <w:szCs w:val="22"/>
              </w:rPr>
              <w:tab/>
            </w:r>
            <w:r>
              <w:rPr>
                <w:rStyle w:val="Vnculodendice"/>
                <w:highlight w:val="cyan"/>
              </w:rPr>
              <w:t xml:space="preserve">DO REGISTRO DE PREÇOS </w:t>
            </w:r>
            <w:r>
              <w:rPr>
                <w:webHidden/>
              </w:rPr>
              <w:fldChar w:fldCharType="begin"/>
            </w:r>
            <w:r>
              <w:rPr>
                <w:webHidden/>
              </w:rPr>
              <w:instrText>PAGEREF _Toc135469224 \h</w:instrText>
            </w:r>
            <w:r>
              <w:rPr>
                <w:webHidden/>
              </w:rPr>
              <w:fldChar w:fldCharType="separate"/>
            </w:r>
            <w:r>
              <w:rPr>
                <w:rStyle w:val="Vnculodendice"/>
                <w:vanish w:val="false"/>
              </w:rPr>
              <w:tab/>
              <w:t>3</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25">
            <w:r>
              <w:rPr>
                <w:webHidden/>
                <w:rStyle w:val="Vnculodendice"/>
              </w:rPr>
              <w:t>3.</w:t>
            </w:r>
            <w:r>
              <w:rPr>
                <w:rStyle w:val="Vnculodendice"/>
                <w:rFonts w:eastAsia="ＭＳ 明朝" w:cs="Arial" w:ascii="Cambria" w:hAnsi="Cambria" w:asciiTheme="minorHAnsi" w:cstheme="minorBidi" w:eastAsiaTheme="minorEastAsia" w:hAnsiTheme="minorHAnsi"/>
                <w:sz w:val="22"/>
                <w:szCs w:val="22"/>
              </w:rPr>
              <w:tab/>
            </w:r>
            <w:r>
              <w:rPr>
                <w:rStyle w:val="Vnculodendice"/>
              </w:rPr>
              <w:t>DA PARTICIPAÇÃO NA LICITAÇÃO</w:t>
            </w:r>
            <w:r>
              <w:rPr>
                <w:webHidden/>
              </w:rPr>
              <w:fldChar w:fldCharType="begin"/>
            </w:r>
            <w:r>
              <w:rPr>
                <w:webHidden/>
              </w:rPr>
              <w:instrText>PAGEREF _Toc135469225 \h</w:instrText>
            </w:r>
            <w:r>
              <w:rPr>
                <w:webHidden/>
              </w:rPr>
              <w:fldChar w:fldCharType="separate"/>
            </w:r>
            <w:r>
              <w:rPr>
                <w:rStyle w:val="Vnculodendice"/>
                <w:vanish w:val="false"/>
              </w:rPr>
              <w:tab/>
              <w:t>4</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26">
            <w:r>
              <w:rPr>
                <w:webHidden/>
                <w:rStyle w:val="Vnculodendice"/>
              </w:rPr>
              <w:t>4.</w:t>
            </w:r>
            <w:r>
              <w:rPr>
                <w:rStyle w:val="Vnculodendice"/>
                <w:rFonts w:eastAsia="ＭＳ 明朝" w:cs="Arial" w:ascii="Cambria" w:hAnsi="Cambria" w:asciiTheme="minorHAnsi" w:cstheme="minorBidi" w:eastAsiaTheme="minorEastAsia" w:hAnsiTheme="minorHAnsi"/>
                <w:sz w:val="22"/>
                <w:szCs w:val="22"/>
              </w:rPr>
              <w:tab/>
            </w:r>
            <w:r>
              <w:rPr>
                <w:rStyle w:val="Vnculodendice"/>
              </w:rPr>
              <w:t>DA APRESENTAÇÃO DA PROPOSTA E DOS DOCUMENTOS DE HABILITAÇÃO</w:t>
            </w:r>
            <w:r>
              <w:rPr>
                <w:webHidden/>
              </w:rPr>
              <w:fldChar w:fldCharType="begin"/>
            </w:r>
            <w:r>
              <w:rPr>
                <w:webHidden/>
              </w:rPr>
              <w:instrText>PAGEREF _Toc135469226 \h</w:instrText>
            </w:r>
            <w:r>
              <w:rPr>
                <w:webHidden/>
              </w:rPr>
              <w:fldChar w:fldCharType="separate"/>
            </w:r>
            <w:r>
              <w:rPr>
                <w:rStyle w:val="Vnculodendice"/>
                <w:vanish w:val="false"/>
              </w:rPr>
              <w:tab/>
              <w:t>5</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27">
            <w:r>
              <w:rPr>
                <w:webHidden/>
                <w:rStyle w:val="Vnculodendice"/>
              </w:rPr>
              <w:t>5.</w:t>
            </w:r>
            <w:r>
              <w:rPr>
                <w:rStyle w:val="Vnculodendice"/>
                <w:rFonts w:eastAsia="ＭＳ 明朝" w:cs="Arial" w:ascii="Cambria" w:hAnsi="Cambria" w:asciiTheme="minorHAnsi" w:cstheme="minorBidi" w:eastAsiaTheme="minorEastAsia" w:hAnsiTheme="minorHAnsi"/>
                <w:sz w:val="22"/>
                <w:szCs w:val="22"/>
              </w:rPr>
              <w:tab/>
            </w:r>
            <w:r>
              <w:rPr>
                <w:rStyle w:val="Vnculodendice"/>
              </w:rPr>
              <w:t>DO PREENCHIMENTO DA PROPOSTA</w:t>
            </w:r>
            <w:r>
              <w:rPr>
                <w:webHidden/>
              </w:rPr>
              <w:fldChar w:fldCharType="begin"/>
            </w:r>
            <w:r>
              <w:rPr>
                <w:webHidden/>
              </w:rPr>
              <w:instrText>PAGEREF _Toc135469227 \h</w:instrText>
            </w:r>
            <w:r>
              <w:rPr>
                <w:webHidden/>
              </w:rPr>
              <w:fldChar w:fldCharType="separate"/>
            </w:r>
            <w:r>
              <w:rPr>
                <w:rStyle w:val="Vnculodendice"/>
                <w:vanish w:val="false"/>
              </w:rPr>
              <w:tab/>
              <w:t>7</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28">
            <w:r>
              <w:rPr>
                <w:webHidden/>
                <w:rStyle w:val="Vnculodendice"/>
              </w:rPr>
              <w:t>6.</w:t>
            </w:r>
            <w:r>
              <w:rPr>
                <w:rStyle w:val="Vnculodendice"/>
                <w:rFonts w:eastAsia="ＭＳ 明朝" w:cs="Arial" w:ascii="Cambria" w:hAnsi="Cambria" w:asciiTheme="minorHAnsi" w:cstheme="minorBidi" w:eastAsiaTheme="minorEastAsia" w:hAnsiTheme="minorHAnsi"/>
                <w:sz w:val="22"/>
                <w:szCs w:val="22"/>
              </w:rPr>
              <w:tab/>
            </w:r>
            <w:r>
              <w:rPr>
                <w:rStyle w:val="Vnculodendice"/>
              </w:rPr>
              <w:t>DA ABERTURA DA SESSÃO, CLASSIFICAÇÃO DAS PROPOSTAS E FORMULAÇÃO DE LANCES</w:t>
            </w:r>
            <w:r>
              <w:rPr>
                <w:webHidden/>
              </w:rPr>
              <w:fldChar w:fldCharType="begin"/>
            </w:r>
            <w:r>
              <w:rPr>
                <w:webHidden/>
              </w:rPr>
              <w:instrText>PAGEREF _Toc135469228 \h</w:instrText>
            </w:r>
            <w:r>
              <w:rPr>
                <w:webHidden/>
              </w:rPr>
              <w:fldChar w:fldCharType="separate"/>
            </w:r>
            <w:r>
              <w:rPr>
                <w:rStyle w:val="Vnculodendice"/>
                <w:vanish w:val="false"/>
              </w:rPr>
              <w:tab/>
              <w:t>8</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29">
            <w:r>
              <w:rPr>
                <w:webHidden/>
                <w:rStyle w:val="Vnculodendice"/>
              </w:rPr>
              <w:t>7.</w:t>
            </w:r>
            <w:r>
              <w:rPr>
                <w:rStyle w:val="Vnculodendice"/>
                <w:rFonts w:eastAsia="ＭＳ 明朝" w:cs="Arial" w:ascii="Cambria" w:hAnsi="Cambria" w:asciiTheme="minorHAnsi" w:cstheme="minorBidi" w:eastAsiaTheme="minorEastAsia" w:hAnsiTheme="minorHAnsi"/>
                <w:sz w:val="22"/>
                <w:szCs w:val="22"/>
              </w:rPr>
              <w:tab/>
            </w:r>
            <w:r>
              <w:rPr>
                <w:rStyle w:val="Vnculodendice"/>
              </w:rPr>
              <w:t>DA FASE DE JULGAMENTO</w:t>
            </w:r>
            <w:r>
              <w:rPr>
                <w:webHidden/>
              </w:rPr>
              <w:fldChar w:fldCharType="begin"/>
            </w:r>
            <w:r>
              <w:rPr>
                <w:webHidden/>
              </w:rPr>
              <w:instrText>PAGEREF _Toc135469229 \h</w:instrText>
            </w:r>
            <w:r>
              <w:rPr>
                <w:webHidden/>
              </w:rPr>
              <w:fldChar w:fldCharType="separate"/>
            </w:r>
            <w:r>
              <w:rPr>
                <w:rStyle w:val="Vnculodendice"/>
                <w:vanish w:val="false"/>
              </w:rPr>
              <w:tab/>
              <w:t>12</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0">
            <w:r>
              <w:rPr>
                <w:webHidden/>
                <w:rStyle w:val="Vnculodendice"/>
              </w:rPr>
              <w:t>8.</w:t>
            </w:r>
            <w:r>
              <w:rPr>
                <w:rStyle w:val="Vnculodendice"/>
                <w:rFonts w:eastAsia="ＭＳ 明朝" w:cs="Arial" w:ascii="Cambria" w:hAnsi="Cambria" w:asciiTheme="minorHAnsi" w:cstheme="minorBidi" w:eastAsiaTheme="minorEastAsia" w:hAnsiTheme="minorHAnsi"/>
                <w:sz w:val="22"/>
                <w:szCs w:val="22"/>
              </w:rPr>
              <w:tab/>
            </w:r>
            <w:r>
              <w:rPr>
                <w:rStyle w:val="Vnculodendice"/>
              </w:rPr>
              <w:t>DA FASE DE HABILITAÇÃO</w:t>
            </w:r>
            <w:r>
              <w:rPr>
                <w:webHidden/>
              </w:rPr>
              <w:fldChar w:fldCharType="begin"/>
            </w:r>
            <w:r>
              <w:rPr>
                <w:webHidden/>
              </w:rPr>
              <w:instrText>PAGEREF _Toc135469230 \h</w:instrText>
            </w:r>
            <w:r>
              <w:rPr>
                <w:webHidden/>
              </w:rPr>
              <w:fldChar w:fldCharType="separate"/>
            </w:r>
            <w:r>
              <w:rPr>
                <w:rStyle w:val="Vnculodendice"/>
                <w:vanish w:val="false"/>
              </w:rPr>
              <w:tab/>
              <w:t>15</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1">
            <w:r>
              <w:rPr>
                <w:webHidden/>
                <w:rStyle w:val="Vnculodendice"/>
                <w:highlight w:val="cyan"/>
              </w:rPr>
              <w:t>9.</w:t>
            </w:r>
            <w:r>
              <w:rPr>
                <w:rStyle w:val="Vnculodendice"/>
                <w:rFonts w:eastAsia="ＭＳ 明朝" w:cs="Arial" w:ascii="Cambria" w:hAnsi="Cambria" w:asciiTheme="minorHAnsi" w:cstheme="minorBidi" w:eastAsiaTheme="minorEastAsia" w:hAnsiTheme="minorHAnsi"/>
                <w:sz w:val="22"/>
                <w:szCs w:val="22"/>
              </w:rPr>
              <w:tab/>
            </w:r>
            <w:r>
              <w:rPr>
                <w:rStyle w:val="Vnculodendice"/>
                <w:highlight w:val="cyan"/>
              </w:rPr>
              <w:t>DA ATA DE REGISTRO DE PREÇOS</w:t>
            </w:r>
            <w:r>
              <w:rPr>
                <w:webHidden/>
              </w:rPr>
              <w:fldChar w:fldCharType="begin"/>
            </w:r>
            <w:r>
              <w:rPr>
                <w:webHidden/>
              </w:rPr>
              <w:instrText>PAGEREF _Toc135469231 \h</w:instrText>
            </w:r>
            <w:r>
              <w:rPr>
                <w:webHidden/>
              </w:rPr>
              <w:fldChar w:fldCharType="separate"/>
            </w:r>
            <w:r>
              <w:rPr>
                <w:rStyle w:val="Vnculodendice"/>
                <w:vanish w:val="false"/>
              </w:rPr>
              <w:tab/>
              <w:t>17</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2">
            <w:r>
              <w:rPr>
                <w:webHidden/>
                <w:rStyle w:val="Vnculodendice"/>
                <w:highlight w:val="cyan"/>
              </w:rPr>
              <w:t>10.</w:t>
            </w:r>
            <w:r>
              <w:rPr>
                <w:rStyle w:val="Vnculodendice"/>
                <w:rFonts w:eastAsia="ＭＳ 明朝" w:cs="Arial" w:ascii="Cambria" w:hAnsi="Cambria" w:asciiTheme="minorHAnsi" w:cstheme="minorBidi" w:eastAsiaTheme="minorEastAsia" w:hAnsiTheme="minorHAnsi"/>
                <w:sz w:val="22"/>
                <w:szCs w:val="22"/>
              </w:rPr>
              <w:tab/>
            </w:r>
            <w:r>
              <w:rPr>
                <w:rStyle w:val="Vnculodendice"/>
                <w:highlight w:val="cyan"/>
              </w:rPr>
              <w:t>DA FORMAÇÃO DO CADASTRO DE RESERVA</w:t>
            </w:r>
            <w:r>
              <w:rPr>
                <w:webHidden/>
              </w:rPr>
              <w:fldChar w:fldCharType="begin"/>
            </w:r>
            <w:r>
              <w:rPr>
                <w:webHidden/>
              </w:rPr>
              <w:instrText>PAGEREF _Toc135469232 \h</w:instrText>
            </w:r>
            <w:r>
              <w:rPr>
                <w:webHidden/>
              </w:rPr>
              <w:fldChar w:fldCharType="separate"/>
            </w:r>
            <w:r>
              <w:rPr>
                <w:rStyle w:val="Vnculodendice"/>
                <w:vanish w:val="false"/>
              </w:rPr>
              <w:tab/>
              <w:t>17</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3">
            <w:r>
              <w:rPr>
                <w:webHidden/>
                <w:rStyle w:val="Vnculodendice"/>
              </w:rPr>
              <w:t>11.</w:t>
            </w:r>
            <w:r>
              <w:rPr>
                <w:rStyle w:val="Vnculodendice"/>
                <w:rFonts w:eastAsia="ＭＳ 明朝" w:cs="Arial" w:ascii="Cambria" w:hAnsi="Cambria" w:asciiTheme="minorHAnsi" w:cstheme="minorBidi" w:eastAsiaTheme="minorEastAsia" w:hAnsiTheme="minorHAnsi"/>
                <w:sz w:val="22"/>
                <w:szCs w:val="22"/>
              </w:rPr>
              <w:tab/>
            </w:r>
            <w:r>
              <w:rPr>
                <w:rStyle w:val="Vnculodendice"/>
              </w:rPr>
              <w:t>DOS RECURSOS</w:t>
            </w:r>
            <w:r>
              <w:rPr>
                <w:webHidden/>
              </w:rPr>
              <w:fldChar w:fldCharType="begin"/>
            </w:r>
            <w:r>
              <w:rPr>
                <w:webHidden/>
              </w:rPr>
              <w:instrText>PAGEREF _Toc135469233 \h</w:instrText>
            </w:r>
            <w:r>
              <w:rPr>
                <w:webHidden/>
              </w:rPr>
              <w:fldChar w:fldCharType="separate"/>
            </w:r>
            <w:r>
              <w:rPr>
                <w:rStyle w:val="Vnculodendice"/>
                <w:vanish w:val="false"/>
              </w:rPr>
              <w:tab/>
              <w:t>18</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4">
            <w:r>
              <w:rPr>
                <w:webHidden/>
                <w:rStyle w:val="Vnculodendice"/>
              </w:rPr>
              <w:t>12.</w:t>
            </w:r>
            <w:r>
              <w:rPr>
                <w:rStyle w:val="Vnculodendice"/>
                <w:rFonts w:eastAsia="ＭＳ 明朝" w:cs="Arial" w:ascii="Cambria" w:hAnsi="Cambria" w:asciiTheme="minorHAnsi" w:cstheme="minorBidi" w:eastAsiaTheme="minorEastAsia" w:hAnsiTheme="minorHAnsi"/>
                <w:sz w:val="22"/>
                <w:szCs w:val="22"/>
              </w:rPr>
              <w:tab/>
            </w:r>
            <w:r>
              <w:rPr>
                <w:rStyle w:val="Vnculodendice"/>
              </w:rPr>
              <w:t>DAS INFRAÇÕES ADMINISTRATIVAS E SANÇÕES</w:t>
            </w:r>
            <w:r>
              <w:rPr>
                <w:webHidden/>
              </w:rPr>
              <w:fldChar w:fldCharType="begin"/>
            </w:r>
            <w:r>
              <w:rPr>
                <w:webHidden/>
              </w:rPr>
              <w:instrText>PAGEREF _Toc135469234 \h</w:instrText>
            </w:r>
            <w:r>
              <w:rPr>
                <w:webHidden/>
              </w:rPr>
              <w:fldChar w:fldCharType="separate"/>
            </w:r>
            <w:r>
              <w:rPr>
                <w:rStyle w:val="Vnculodendice"/>
                <w:vanish w:val="false"/>
              </w:rPr>
              <w:tab/>
              <w:t>19</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5">
            <w:r>
              <w:rPr>
                <w:webHidden/>
                <w:rStyle w:val="Vnculodendice"/>
              </w:rPr>
              <w:t>13.</w:t>
            </w:r>
            <w:r>
              <w:rPr>
                <w:rStyle w:val="Vnculodendice"/>
                <w:rFonts w:eastAsia="ＭＳ 明朝" w:cs="Arial" w:ascii="Cambria" w:hAnsi="Cambria" w:asciiTheme="minorHAnsi" w:cstheme="minorBidi" w:eastAsiaTheme="minorEastAsia" w:hAnsiTheme="minorHAnsi"/>
                <w:sz w:val="22"/>
                <w:szCs w:val="22"/>
              </w:rPr>
              <w:tab/>
            </w:r>
            <w:r>
              <w:rPr>
                <w:rStyle w:val="Vnculodendice"/>
              </w:rPr>
              <w:t>DA IMPUGNAÇÃO AO EDITAL E DO PEDIDO DE ESCLARECIMENTO</w:t>
            </w:r>
            <w:r>
              <w:rPr>
                <w:webHidden/>
              </w:rPr>
              <w:fldChar w:fldCharType="begin"/>
            </w:r>
            <w:r>
              <w:rPr>
                <w:webHidden/>
              </w:rPr>
              <w:instrText>PAGEREF _Toc135469235 \h</w:instrText>
            </w:r>
            <w:r>
              <w:rPr>
                <w:webHidden/>
              </w:rPr>
              <w:fldChar w:fldCharType="separate"/>
            </w:r>
            <w:r>
              <w:rPr>
                <w:rStyle w:val="Vnculodendice"/>
                <w:vanish w:val="false"/>
              </w:rPr>
              <w:tab/>
              <w:t>21</w:t>
            </w:r>
            <w:r>
              <w:rPr>
                <w:webHidden/>
              </w:rPr>
              <w:fldChar w:fldCharType="end"/>
            </w:r>
          </w:hyperlink>
        </w:p>
        <w:p>
          <w:pPr>
            <w:pStyle w:val="Sumrio1"/>
            <w:rPr>
              <w:rFonts w:ascii="Cambria" w:hAnsi="Cambria" w:eastAsia="ＭＳ 明朝" w:cs="Arial" w:asciiTheme="minorHAnsi" w:cstheme="minorBidi" w:eastAsiaTheme="minorEastAsia" w:hAnsiTheme="minorHAnsi"/>
              <w:sz w:val="22"/>
              <w:szCs w:val="22"/>
            </w:rPr>
          </w:pPr>
          <w:hyperlink w:anchor="_Toc135469236">
            <w:r>
              <w:rPr>
                <w:webHidden/>
                <w:rStyle w:val="Vnculodendice"/>
              </w:rPr>
              <w:t>14.</w:t>
            </w:r>
            <w:r>
              <w:rPr>
                <w:rStyle w:val="Vnculodendice"/>
                <w:rFonts w:eastAsia="ＭＳ 明朝" w:cs="Arial" w:ascii="Cambria" w:hAnsi="Cambria" w:asciiTheme="minorHAnsi" w:cstheme="minorBidi" w:eastAsiaTheme="minorEastAsia" w:hAnsiTheme="minorHAnsi"/>
                <w:sz w:val="22"/>
                <w:szCs w:val="22"/>
              </w:rPr>
              <w:tab/>
            </w:r>
            <w:r>
              <w:rPr>
                <w:rStyle w:val="Vnculodendice"/>
              </w:rPr>
              <w:t>DAS DISPOSIÇÕES GERAIS</w:t>
            </w:r>
            <w:r>
              <w:rPr>
                <w:webHidden/>
              </w:rPr>
              <w:fldChar w:fldCharType="begin"/>
            </w:r>
            <w:r>
              <w:rPr>
                <w:webHidden/>
              </w:rPr>
              <w:instrText>PAGEREF _Toc135469236 \h</w:instrText>
            </w:r>
            <w:r>
              <w:rPr>
                <w:webHidden/>
              </w:rPr>
              <w:fldChar w:fldCharType="separate"/>
            </w:r>
            <w:r>
              <w:rPr>
                <w:rStyle w:val="Vnculodendice"/>
                <w:vanish w:val="false"/>
              </w:rPr>
              <w:tab/>
              <w:t>21</w:t>
            </w:r>
            <w:r>
              <w:rPr>
                <w:webHidden/>
              </w:rPr>
              <w:fldChar w:fldCharType="end"/>
            </w:r>
          </w:hyperlink>
        </w:p>
        <w:p>
          <w:pPr>
            <w:pStyle w:val="Normal"/>
            <w:rPr>
              <w:rFonts w:ascii="Arial" w:hAnsi="Arial" w:cs="Arial"/>
              <w:b/>
              <w:b/>
              <w:bCs/>
              <w:sz w:val="22"/>
              <w:szCs w:val="22"/>
            </w:rPr>
          </w:pPr>
          <w:r>
            <w:rPr>
              <w:rFonts w:cs="Arial" w:ascii="Arial" w:hAnsi="Arial"/>
              <w:b/>
              <w:bCs/>
              <w:sz w:val="22"/>
              <w:szCs w:val="22"/>
            </w:rPr>
          </w:r>
          <w:r>
            <w:rPr>
              <w:sz w:val="22"/>
              <w:b/>
              <w:szCs w:val="22"/>
              <w:bCs/>
              <w:rFonts w:cs="Arial" w:ascii="Arial" w:hAnsi="Arial"/>
            </w:rPr>
            <w:fldChar w:fldCharType="end"/>
          </w:r>
        </w:p>
      </w:sdtContent>
    </w:sdt>
    <w:p>
      <w:pPr>
        <w:pStyle w:val="Normal"/>
        <w:rPr>
          <w:rFonts w:ascii="Arial" w:hAnsi="Arial" w:cs="Arial"/>
          <w:b/>
          <w:b/>
          <w:bCs/>
          <w:color w:val="5B5B5F"/>
          <w:sz w:val="28"/>
          <w:szCs w:val="28"/>
        </w:rPr>
      </w:pPr>
      <w:r>
        <w:rPr>
          <w:rFonts w:cs="Arial" w:ascii="Arial" w:hAnsi="Arial"/>
          <w:b/>
          <w:bCs/>
          <w:color w:val="5B5B5F"/>
          <w:sz w:val="28"/>
          <w:szCs w:val="28"/>
        </w:rPr>
      </w:r>
      <w:r>
        <w:br w:type="page"/>
      </w:r>
    </w:p>
    <w:p>
      <w:pPr>
        <w:pStyle w:val="Citao2"/>
        <w:shd w:fill="FFFFCC" w:val="clear"/>
        <w:spacing w:lineRule="auto" w:line="312" w:before="60" w:after="60"/>
        <w:ind w:firstLine="567"/>
        <w:jc w:val="center"/>
        <w:rPr>
          <w:rFonts w:cs="Arial"/>
          <w:b/>
          <w:b/>
          <w:bCs/>
          <w:i w:val="false"/>
          <w:i w:val="false"/>
          <w:iCs w:val="false"/>
        </w:rPr>
      </w:pPr>
      <w:r>
        <w:rPr>
          <w:rFonts w:cs="Arial"/>
          <w:b/>
          <w:bCs/>
          <w:i w:val="false"/>
          <w:iCs w:val="false"/>
        </w:rPr>
        <w:t>M</w:t>
      </w:r>
      <w:r>
        <w:rPr>
          <w:rFonts w:eastAsia="Calibri" w:cs="Arial"/>
          <w:b/>
          <w:bCs/>
          <w:i w:val="false"/>
          <w:iCs w:val="false"/>
          <w:color w:val="000000"/>
          <w:sz w:val="20"/>
          <w:szCs w:val="20"/>
          <w:lang w:eastAsia="en-US"/>
        </w:rPr>
        <w:t>INUTA DE EDITAL</w:t>
      </w:r>
    </w:p>
    <w:p>
      <w:pPr>
        <w:pStyle w:val="Standard"/>
        <w:tabs>
          <w:tab w:val="left" w:pos="708" w:leader="none"/>
        </w:tabs>
        <w:jc w:val="center"/>
        <w:rPr>
          <w:rFonts w:ascii="Arial" w:hAnsi="Arial" w:eastAsia="Arial" w:cs="Arial"/>
          <w:b/>
          <w:b/>
          <w:sz w:val="20"/>
        </w:rPr>
      </w:pPr>
      <w:r>
        <w:rPr>
          <w:rFonts w:eastAsia="Arial" w:cs="Arial" w:ascii="Arial" w:hAnsi="Arial"/>
          <w:b/>
          <w:color w:val="000000"/>
          <w:sz w:val="20"/>
        </w:rPr>
        <w:object>
          <v:shape id="ole_rId2" style="width:45.75pt;height:50.25pt" o:ole="">
            <v:imagedata r:id="rId3" o:title=""/>
          </v:shape>
          <o:OLEObject Type="Embed" ProgID="" ShapeID="ole_rId2" DrawAspect="Content" ObjectID="_800239619" r:id="rId2"/>
        </w:object>
      </w:r>
    </w:p>
    <w:p>
      <w:pPr>
        <w:pStyle w:val="Standard"/>
        <w:tabs>
          <w:tab w:val="left" w:pos="708" w:leader="none"/>
        </w:tabs>
        <w:jc w:val="center"/>
        <w:rPr>
          <w:rFonts w:ascii="Arial" w:hAnsi="Arial" w:eastAsia="Arial" w:cs="Arial"/>
          <w:b/>
          <w:b/>
          <w:sz w:val="20"/>
        </w:rPr>
      </w:pPr>
      <w:r>
        <w:rPr>
          <w:rFonts w:eastAsia="Arial" w:cs="Arial" w:ascii="Arial" w:hAnsi="Arial"/>
          <w:b/>
          <w:color w:val="000000"/>
          <w:sz w:val="20"/>
        </w:rPr>
        <w:t>PREGÃO ELETRÔNICO</w:t>
      </w:r>
    </w:p>
    <w:p>
      <w:pPr>
        <w:pStyle w:val="Standard"/>
        <w:tabs>
          <w:tab w:val="left" w:pos="708" w:leader="none"/>
        </w:tabs>
        <w:jc w:val="center"/>
        <w:rPr>
          <w:rFonts w:ascii="Arial" w:hAnsi="Arial" w:eastAsia="Arial" w:cs="Arial"/>
          <w:b/>
          <w:b/>
          <w:sz w:val="20"/>
        </w:rPr>
      </w:pPr>
      <w:r>
        <w:rPr>
          <w:rFonts w:eastAsia="Arial" w:cs="Arial" w:ascii="Arial" w:hAnsi="Arial"/>
          <w:b/>
          <w:color w:val="000000"/>
          <w:sz w:val="20"/>
        </w:rPr>
        <w:t>SISTEMA DE REGISTRO DE PREÇOS</w:t>
      </w:r>
    </w:p>
    <w:p>
      <w:pPr>
        <w:pStyle w:val="Standard"/>
        <w:tabs>
          <w:tab w:val="left" w:pos="708" w:leader="none"/>
        </w:tabs>
        <w:jc w:val="center"/>
        <w:rPr>
          <w:rFonts w:ascii="Arial" w:hAnsi="Arial" w:eastAsia="Arial" w:cs="Arial"/>
          <w:b/>
          <w:b/>
          <w:sz w:val="20"/>
        </w:rPr>
      </w:pPr>
      <w:r>
        <w:rPr>
          <w:rFonts w:eastAsia="Arial" w:cs="Arial" w:ascii="Arial" w:hAnsi="Arial"/>
          <w:b/>
          <w:color w:val="000000"/>
          <w:sz w:val="20"/>
        </w:rPr>
        <w:t>CMNE – 7ª RM</w:t>
      </w:r>
    </w:p>
    <w:p>
      <w:pPr>
        <w:pStyle w:val="Standard"/>
        <w:tabs>
          <w:tab w:val="left" w:pos="708" w:leader="none"/>
        </w:tabs>
        <w:jc w:val="center"/>
        <w:rPr>
          <w:rFonts w:ascii="Arial" w:hAnsi="Arial" w:eastAsia="Arial" w:cs="Arial"/>
          <w:b/>
          <w:b/>
          <w:sz w:val="20"/>
        </w:rPr>
      </w:pPr>
      <w:r>
        <w:rPr>
          <w:rFonts w:eastAsia="Arial" w:cs="Arial" w:ascii="Arial" w:hAnsi="Arial"/>
          <w:b/>
          <w:color w:val="000000"/>
          <w:sz w:val="20"/>
        </w:rPr>
        <w:t>PARQUE REGIONAL DE MANUTENÇÃO/7</w:t>
      </w:r>
    </w:p>
    <w:p>
      <w:pPr>
        <w:pStyle w:val="Standard"/>
        <w:tabs>
          <w:tab w:val="left" w:pos="708" w:leader="none"/>
        </w:tabs>
        <w:jc w:val="center"/>
        <w:rPr>
          <w:rFonts w:ascii="Arial" w:hAnsi="Arial" w:eastAsia="Arial" w:cs="Arial"/>
          <w:b/>
          <w:b/>
          <w:sz w:val="20"/>
        </w:rPr>
      </w:pPr>
      <w:r>
        <w:rPr>
          <w:rFonts w:eastAsia="Arial" w:cs="Arial" w:ascii="Arial" w:hAnsi="Arial"/>
          <w:b/>
          <w:color w:val="000000"/>
          <w:sz w:val="20"/>
        </w:rPr>
        <w:t>(Pq R MB/7ª RM/1947)</w:t>
      </w:r>
    </w:p>
    <w:p>
      <w:pPr>
        <w:pStyle w:val="Standard"/>
        <w:spacing w:lineRule="auto" w:line="276" w:before="0" w:after="120"/>
        <w:jc w:val="center"/>
        <w:rPr>
          <w:rFonts w:ascii="Arial" w:hAnsi="Arial" w:eastAsia="Arial" w:cs="Arial"/>
          <w:b/>
          <w:b/>
          <w:sz w:val="20"/>
          <w:u w:val="single"/>
          <w:shd w:fill="FFFFFF" w:val="clear"/>
        </w:rPr>
      </w:pPr>
      <w:r>
        <w:rPr>
          <w:rFonts w:eastAsia="Arial" w:cs="Arial" w:ascii="Arial" w:hAnsi="Arial"/>
          <w:b/>
          <w:color w:val="000000"/>
          <w:sz w:val="20"/>
          <w:u w:val="single"/>
          <w:shd w:fill="FFFFFF" w:val="clear"/>
        </w:rPr>
        <w:t>PARQUE DE MANUTENÇÃO BATALHA DE CASA FORTE</w:t>
      </w:r>
    </w:p>
    <w:p>
      <w:pPr>
        <w:pStyle w:val="Normal"/>
        <w:widowControl/>
        <w:bidi w:val="0"/>
        <w:spacing w:lineRule="auto" w:line="312" w:before="174" w:after="174"/>
        <w:ind w:left="0" w:right="0" w:hanging="0"/>
        <w:jc w:val="center"/>
        <w:rPr>
          <w:rFonts w:ascii="Arial" w:hAnsi="Arial" w:eastAsia="Times New Roman" w:cs="Arial"/>
          <w:b/>
          <w:b/>
          <w:color w:val="000000"/>
          <w:sz w:val="20"/>
          <w:szCs w:val="20"/>
        </w:rPr>
      </w:pPr>
      <w:r>
        <w:rPr>
          <w:rFonts w:cs="Arial" w:ascii="Arial" w:hAnsi="Arial"/>
          <w:b/>
          <w:color w:val="000000"/>
          <w:sz w:val="20"/>
          <w:szCs w:val="20"/>
        </w:rPr>
        <w:t>PREGÃO ELETRÔNICO Nº 0</w:t>
      </w:r>
      <w:r>
        <w:rPr>
          <w:rFonts w:cs="Arial" w:ascii="Arial" w:hAnsi="Arial"/>
          <w:b/>
          <w:color w:val="000000"/>
          <w:sz w:val="20"/>
          <w:szCs w:val="20"/>
        </w:rPr>
        <w:t>3</w:t>
      </w:r>
      <w:r>
        <w:rPr>
          <w:rFonts w:cs="Arial" w:ascii="Arial" w:hAnsi="Arial"/>
          <w:b/>
          <w:color w:val="000000"/>
          <w:sz w:val="20"/>
          <w:szCs w:val="20"/>
        </w:rPr>
        <w:t>/202</w:t>
      </w:r>
      <w:r>
        <w:rPr>
          <w:rFonts w:cs="Arial" w:ascii="Arial" w:hAnsi="Arial"/>
          <w:b/>
          <w:color w:val="000000"/>
          <w:sz w:val="20"/>
          <w:szCs w:val="20"/>
        </w:rPr>
        <w:t>4</w:t>
      </w:r>
    </w:p>
    <w:p>
      <w:pPr>
        <w:pStyle w:val="Normal"/>
        <w:widowControl/>
        <w:tabs>
          <w:tab w:val="clear" w:pos="708"/>
          <w:tab w:val="left" w:pos="120" w:leader="none"/>
        </w:tabs>
        <w:bidi w:val="0"/>
        <w:spacing w:lineRule="auto" w:line="312" w:before="288" w:after="288"/>
        <w:ind w:left="0" w:right="0" w:hanging="0"/>
        <w:jc w:val="center"/>
        <w:rPr>
          <w:b w:val="false"/>
          <w:b w:val="false"/>
          <w:bCs w:val="false"/>
          <w:i w:val="false"/>
          <w:i w:val="false"/>
          <w:iCs w:val="false"/>
        </w:rPr>
      </w:pPr>
      <w:r>
        <w:rPr>
          <w:rFonts w:cs="Arial" w:ascii="Arial" w:hAnsi="Arial"/>
          <w:b w:val="false"/>
          <w:bCs w:val="false"/>
          <w:i w:val="false"/>
          <w:iCs w:val="false"/>
          <w:color w:val="000000"/>
          <w:sz w:val="20"/>
          <w:szCs w:val="20"/>
        </w:rPr>
        <w:t xml:space="preserve">(Processo Administrativo n° </w:t>
      </w:r>
      <w:r>
        <w:rPr>
          <w:rFonts w:eastAsia="Times New Roman" w:cs="Arial" w:ascii="Arial" w:hAnsi="Arial"/>
          <w:b w:val="false"/>
          <w:bCs w:val="false"/>
          <w:i w:val="false"/>
          <w:iCs w:val="false"/>
          <w:color w:val="000000"/>
          <w:sz w:val="20"/>
          <w:szCs w:val="20"/>
          <w:shd w:fill="auto" w:val="clear"/>
          <w:lang w:eastAsia="pt-BR"/>
        </w:rPr>
        <w:t>64621.001305/2024-90</w:t>
      </w:r>
      <w:r>
        <w:rPr>
          <w:rFonts w:cs="Arial" w:ascii="Arial" w:hAnsi="Arial"/>
          <w:b w:val="false"/>
          <w:bCs w:val="false"/>
          <w:i w:val="false"/>
          <w:iCs w:val="false"/>
          <w:color w:val="000000"/>
          <w:sz w:val="20"/>
          <w:szCs w:val="20"/>
        </w:rPr>
        <w:t>)</w:t>
      </w:r>
    </w:p>
    <w:p>
      <w:pPr>
        <w:pStyle w:val="Normal"/>
        <w:numPr>
          <w:ilvl w:val="0"/>
          <w:numId w:val="0"/>
        </w:numPr>
        <w:snapToGrid w:val="false"/>
        <w:spacing w:lineRule="auto" w:line="312" w:before="288" w:after="288"/>
        <w:ind w:firstLine="567"/>
        <w:jc w:val="both"/>
        <w:rPr>
          <w:rFonts w:ascii="Arial" w:hAnsi="Arial" w:eastAsia="Times New Roman" w:cs="Arial"/>
          <w:sz w:val="20"/>
          <w:szCs w:val="20"/>
        </w:rPr>
      </w:pPr>
      <w:r>
        <w:rPr>
          <w:rFonts w:eastAsia="Times New Roman" w:cs="Arial" w:ascii="Arial" w:hAnsi="Arial"/>
          <w:color w:val="000000"/>
          <w:sz w:val="20"/>
          <w:szCs w:val="20"/>
        </w:rPr>
        <w:t xml:space="preserve">Torna-se público que o </w:t>
      </w:r>
      <w:r>
        <w:rPr>
          <w:rFonts w:eastAsia="Times New Roman" w:cs="Arial" w:ascii="Arial" w:hAnsi="Arial"/>
          <w:sz w:val="20"/>
          <w:szCs w:val="20"/>
        </w:rPr>
        <w:t xml:space="preserve">Parque Regional de Manutenção/7° </w:t>
      </w:r>
      <w:r>
        <w:rPr>
          <w:rFonts w:eastAsia="Times New Roman" w:cs="Arial" w:ascii="Arial" w:hAnsi="Arial"/>
          <w:sz w:val="20"/>
          <w:szCs w:val="20"/>
        </w:rPr>
        <w:t xml:space="preserve">da 7º </w:t>
      </w:r>
      <w:r>
        <w:rPr>
          <w:rFonts w:eastAsia="Times New Roman" w:cs="Arial" w:ascii="Arial" w:hAnsi="Arial"/>
          <w:sz w:val="20"/>
          <w:szCs w:val="20"/>
        </w:rPr>
        <w:t>RM, por meio da Seção de Aquisição, Licitações e Contratos (</w:t>
      </w:r>
      <w:r>
        <w:rPr>
          <w:rFonts w:eastAsia="Times New Roman" w:cs="Arial" w:ascii="Arial" w:hAnsi="Arial"/>
          <w:i/>
          <w:sz w:val="20"/>
          <w:szCs w:val="20"/>
        </w:rPr>
        <w:t>SALC</w:t>
      </w:r>
      <w:r>
        <w:rPr>
          <w:rFonts w:eastAsia="Times New Roman" w:cs="Arial" w:ascii="Arial" w:hAnsi="Arial"/>
          <w:sz w:val="20"/>
          <w:szCs w:val="20"/>
        </w:rPr>
        <w:t>)</w:t>
      </w:r>
      <w:r>
        <w:rPr>
          <w:rFonts w:eastAsia="Times New Roman" w:cs="Arial" w:ascii="Arial" w:hAnsi="Arial"/>
          <w:color w:val="000000"/>
          <w:sz w:val="20"/>
          <w:szCs w:val="20"/>
        </w:rPr>
        <w:t xml:space="preserve">, sediado na Av. Dezessete de Agosto, 784, Casa Forte – Recife/PE, realizará licitação, na modalidade PREGÃO, na forma ELETRÔNICA, nos termos da </w:t>
      </w:r>
      <w:hyperlink r:id="rId4">
        <w:r>
          <w:rPr>
            <w:rStyle w:val="LinkdaInternet"/>
            <w:rFonts w:eastAsia="Times New Roman" w:cs="Arial" w:ascii="Arial" w:hAnsi="Arial"/>
            <w:sz w:val="20"/>
            <w:szCs w:val="20"/>
          </w:rPr>
          <w:t>Lei nº 14.133, de 2021</w:t>
        </w:r>
      </w:hyperlink>
      <w:r>
        <w:rPr>
          <w:rFonts w:eastAsia="Times New Roman" w:cs="Arial" w:ascii="Arial" w:hAnsi="Arial"/>
          <w:sz w:val="20"/>
          <w:szCs w:val="20"/>
        </w:rPr>
        <w:t>, e demais legislação aplicável e, ainda, de acordo com as condições estabelecidas neste Edital.</w:t>
      </w:r>
    </w:p>
    <w:p>
      <w:pPr>
        <w:pStyle w:val="Nivel01"/>
        <w:numPr>
          <w:ilvl w:val="0"/>
          <w:numId w:val="1"/>
        </w:numPr>
        <w:rPr>
          <w:lang w:eastAsia="en-US"/>
        </w:rPr>
      </w:pPr>
      <w:bookmarkStart w:id="0" w:name="_Toc135469223"/>
      <w:r>
        <w:rPr>
          <w:lang w:eastAsia="en-US"/>
        </w:rPr>
        <w:t>DO OBJETO</w:t>
      </w:r>
      <w:bookmarkEnd w:id="0"/>
    </w:p>
    <w:p>
      <w:pPr>
        <w:pStyle w:val="Nivel2"/>
        <w:numPr>
          <w:ilvl w:val="1"/>
          <w:numId w:val="1"/>
        </w:numPr>
        <w:spacing w:lineRule="auto" w:line="312" w:before="174" w:after="174"/>
        <w:ind w:left="0" w:firstLine="709"/>
        <w:rPr/>
      </w:pPr>
      <w:r>
        <w:rPr/>
        <w:t>O objeto da presente licitação é a Aquisição de peças de viaturas genuínas ou originais que atendam a norma da ABNT 15296 -  GCALC 7ª RM compreendendo as Guarnições de Recife, Olinda e Jaboatão dos Guararapes e unidades autorizadas pelo Comando da 7ª RM, conforme condições, quantidades e exigências estabelecidas neste Edital e seus anexos.</w:t>
      </w:r>
    </w:p>
    <w:p>
      <w:pPr>
        <w:pStyle w:val="Nivel2"/>
        <w:numPr>
          <w:ilvl w:val="1"/>
          <w:numId w:val="1"/>
        </w:numPr>
        <w:spacing w:lineRule="auto" w:line="312" w:before="0" w:after="0"/>
        <w:ind w:left="0" w:firstLine="709"/>
        <w:rPr>
          <w:color w:val="auto"/>
        </w:rPr>
      </w:pPr>
      <w:r>
        <w:rPr>
          <w:color w:val="auto"/>
        </w:rPr>
        <w:t>A licitação será dividida em itens, conforme tabela constante do Termo de Referência, fac</w:t>
      </w:r>
      <w:r>
        <w:rPr>
          <w:color w:val="000000"/>
          <w:shd w:fill="FFFFFF" w:val="clear"/>
        </w:rPr>
        <w:t>ultando-se ao licitante a participação em quantos itens forem de seu interesse.</w:t>
      </w:r>
    </w:p>
    <w:p>
      <w:pPr>
        <w:pStyle w:val="Nivel01"/>
        <w:keepNext w:val="true"/>
        <w:keepLines/>
        <w:widowControl/>
        <w:numPr>
          <w:ilvl w:val="0"/>
          <w:numId w:val="1"/>
        </w:numPr>
        <w:bidi w:val="0"/>
        <w:spacing w:lineRule="auto" w:line="312"/>
        <w:jc w:val="both"/>
        <w:rPr/>
      </w:pPr>
      <w:r>
        <w:rPr>
          <w:shd w:fill="FFFFFF" w:val="clear"/>
        </w:rPr>
        <w:t xml:space="preserve">DO REGISTRO DE PREÇOS </w:t>
      </w:r>
    </w:p>
    <w:p>
      <w:pPr>
        <w:pStyle w:val="Nivel2"/>
        <w:numPr>
          <w:ilvl w:val="1"/>
          <w:numId w:val="1"/>
        </w:numPr>
        <w:ind w:left="0" w:hanging="0"/>
        <w:rPr>
          <w:shd w:fill="FFFFFF" w:val="clear"/>
        </w:rPr>
      </w:pPr>
      <w:r>
        <w:rPr>
          <w:shd w:fill="FFFFFF" w:val="clear"/>
        </w:rPr>
        <w:t>As regras referentes aos órgãos gerenciador e participantes, bem como a eventuais adesões são as que constam da minuta de Ata de Registro de Preços.</w:t>
      </w:r>
    </w:p>
    <w:p>
      <w:pPr>
        <w:pStyle w:val="Nivel01"/>
        <w:numPr>
          <w:ilvl w:val="0"/>
          <w:numId w:val="1"/>
        </w:numPr>
        <w:rPr/>
      </w:pPr>
      <w:bookmarkStart w:id="1" w:name="_Toc135469225"/>
      <w:r>
        <w:rPr/>
        <w:t>DA PARTICIPAÇÃO NA LICITAÇÃO</w:t>
      </w:r>
      <w:bookmarkEnd w:id="1"/>
    </w:p>
    <w:p>
      <w:pPr>
        <w:pStyle w:val="Nivel2"/>
        <w:numPr>
          <w:ilvl w:val="1"/>
          <w:numId w:val="1"/>
        </w:numPr>
        <w:ind w:left="0" w:hanging="0"/>
        <w:rPr/>
      </w:pPr>
      <w:bookmarkStart w:id="2" w:name="_Hlk135302270"/>
      <w:r>
        <w:rPr/>
        <w:t>Poderão participar deste Pregão os interessados que estiverem previamente credenciados no Sistema de Cadastramento Unificado de Fornecedores - SICAF e no Sistema de Compras do Governo Federal (</w:t>
      </w:r>
      <w:hyperlink r:id="rId5">
        <w:r>
          <w:rPr>
            <w:rStyle w:val="LinkdaInternet"/>
          </w:rPr>
          <w:t>www.gov.br/compras</w:t>
        </w:r>
      </w:hyperlink>
      <w:r>
        <w:rPr/>
        <w:t>).</w:t>
      </w:r>
      <w:bookmarkEnd w:id="2"/>
    </w:p>
    <w:p>
      <w:pPr>
        <w:pStyle w:val="Nivel3"/>
        <w:numPr>
          <w:ilvl w:val="2"/>
          <w:numId w:val="1"/>
        </w:numPr>
        <w:ind w:left="284" w:hanging="0"/>
        <w:rPr/>
      </w:pPr>
      <w:r>
        <w:rPr/>
        <w:t>Os interessados deverão atender às condições exigidas no cadastramento no Sicaf até o terceiro dia útil anterior à data prevista para recebimento das propostas.</w:t>
      </w:r>
      <w:bookmarkStart w:id="3" w:name="_Hlk135304247"/>
      <w:bookmarkEnd w:id="3"/>
    </w:p>
    <w:p>
      <w:pPr>
        <w:pStyle w:val="Nivel2"/>
        <w:numPr>
          <w:ilvl w:val="1"/>
          <w:numId w:val="1"/>
        </w:numPr>
        <w:ind w:left="0" w:hanging="0"/>
        <w:rPr/>
      </w:pPr>
      <w:r>
        <w:rPr/>
        <w:t>O licitante responsabiliza-se exclusiva e formalmente pelas transações efetuadas em seu nome, assume como firmes e verdadeiras suas propostas e seus lances, inclusive os atos praticados diretamente ou por seu representante, excluída a responsabilidade do provedor do sistema ou do órgão ou entidade promotora da licitação por eventuais danos decorrentes de uso indevido das credenciais de acesso, ainda que por terceiros.</w:t>
      </w:r>
    </w:p>
    <w:p>
      <w:pPr>
        <w:pStyle w:val="Nivel2"/>
        <w:numPr>
          <w:ilvl w:val="1"/>
          <w:numId w:val="1"/>
        </w:numPr>
        <w:ind w:left="0" w:hanging="0"/>
        <w:rPr/>
      </w:pPr>
      <w:r>
        <w:rPr/>
        <w:t>É de responsabilidade do cadastrado conferir a exatidão dos seus dados cadastrais nos Sistemas relacionados no item anterior e mantê-los atualizados junto aos órgãos responsáveis pela informação, devendo proceder, imediatamente, à correção ou à alteração dos registros tão logo identifique incorreção ou aqueles se tornem desatualizados.</w:t>
      </w:r>
    </w:p>
    <w:p>
      <w:pPr>
        <w:pStyle w:val="Nivel2"/>
        <w:numPr>
          <w:ilvl w:val="1"/>
          <w:numId w:val="1"/>
        </w:numPr>
        <w:ind w:left="0" w:hanging="0"/>
        <w:rPr/>
      </w:pPr>
      <w:r>
        <w:rPr/>
        <w:t>A não observância do disposto no item anterior poderá ensejar desclassificação no momento da habilitação.</w:t>
      </w:r>
    </w:p>
    <w:p>
      <w:pPr>
        <w:pStyle w:val="Nvel2Red"/>
        <w:numPr>
          <w:ilvl w:val="1"/>
          <w:numId w:val="1"/>
        </w:numPr>
        <w:ind w:left="0" w:hanging="0"/>
        <w:jc w:val="both"/>
        <w:rPr/>
      </w:pPr>
      <w:r>
        <w:rPr>
          <w:b/>
          <w:bCs/>
          <w:i w:val="false"/>
          <w:iCs w:val="false"/>
          <w:color w:val="000000"/>
        </w:rPr>
        <w:t xml:space="preserve">Para os itens </w:t>
      </w:r>
      <w:r>
        <w:rPr>
          <w:b/>
          <w:bCs/>
          <w:i w:val="false"/>
          <w:iCs w:val="false"/>
          <w:color w:val="000000"/>
        </w:rPr>
        <w:t>10, 11, 12, 30, 39, 40, 41, 42, 44, 45, 52, 53, 54, 71, 72, 73, 74, 75, 76, 77, 78, 80, 81, 82,83,84,85,86,87,88,89,90,91,92,93,94,95,96,97,98,99,100,101,102,103,104,105,106,107,108,109,110,111,112,113,114,115,116 e 117</w:t>
      </w:r>
      <w:r>
        <w:rPr>
          <w:b/>
          <w:bCs/>
          <w:i w:val="false"/>
          <w:iCs w:val="false"/>
          <w:color w:val="000000"/>
        </w:rPr>
        <w:t xml:space="preserve"> a participação é exclusiva a microempresas e empresas de pequeno porte, nos termos do</w:t>
      </w:r>
      <w:r>
        <w:rPr>
          <w:i w:val="false"/>
          <w:iCs w:val="false"/>
        </w:rPr>
        <w:t xml:space="preserve"> </w:t>
      </w:r>
      <w:hyperlink r:id="rId6">
        <w:r>
          <w:rPr>
            <w:rStyle w:val="LinkdaInternet"/>
            <w:i w:val="false"/>
            <w:iCs w:val="false"/>
          </w:rPr>
          <w:t>art. 48 da Lei Complementar nº 123, de 14 de dezembro de 2006</w:t>
        </w:r>
      </w:hyperlink>
      <w:r>
        <w:rPr>
          <w:i w:val="false"/>
          <w:iCs w:val="false"/>
        </w:rPr>
        <w:t>.</w:t>
      </w:r>
    </w:p>
    <w:p>
      <w:pPr>
        <w:pStyle w:val="Nvel3R"/>
        <w:numPr>
          <w:ilvl w:val="2"/>
          <w:numId w:val="1"/>
        </w:numPr>
        <w:ind w:left="284" w:hanging="0"/>
        <w:rPr>
          <w:b/>
          <w:b/>
          <w:bCs/>
          <w:i w:val="false"/>
          <w:i w:val="false"/>
          <w:iCs w:val="false"/>
          <w:color w:val="000000"/>
        </w:rPr>
      </w:pPr>
      <w:bookmarkStart w:id="4" w:name="_Ref117015508"/>
      <w:r>
        <w:rPr>
          <w:b/>
          <w:bCs/>
          <w:i w:val="false"/>
          <w:iCs w:val="false"/>
          <w:color w:val="000000"/>
        </w:rPr>
        <w:t>A obtenção do benefício a que se refere o item anterior fica limitada às microempresas e às empresas de pequeno porte que, no ano-calendário de realização da licitação, ainda não tenham celebrado contratos com a Administração Pública cujos valores somados extrapolem a receita bruta máxima admitida para fins de enquadramento como empresa de pequeno porte.</w:t>
      </w:r>
      <w:bookmarkEnd w:id="4"/>
    </w:p>
    <w:p>
      <w:pPr>
        <w:pStyle w:val="Nivel2"/>
        <w:numPr>
          <w:ilvl w:val="1"/>
          <w:numId w:val="1"/>
        </w:numPr>
        <w:ind w:left="0" w:hanging="0"/>
        <w:rPr>
          <w:rFonts w:eastAsia="Times New Roman"/>
          <w:color w:val="auto"/>
        </w:rPr>
      </w:pPr>
      <w:r>
        <w:rPr>
          <w:color w:val="auto"/>
        </w:rPr>
        <w:t xml:space="preserve">Será concedido tratamento favorecido para as microempresas e empresas de pequeno porte e para o microempreendedor individual - MEI, nos limites previstos da </w:t>
      </w:r>
      <w:hyperlink r:id="rId7">
        <w:r>
          <w:rPr>
            <w:rStyle w:val="LinkdaInternet"/>
          </w:rPr>
          <w:t>Lei Complementar nº 123, de 2006</w:t>
        </w:r>
      </w:hyperlink>
      <w:r>
        <w:rPr>
          <w:color w:val="auto"/>
        </w:rPr>
        <w:t xml:space="preserve"> e do Decreto n.º 8.538, de 2015.</w:t>
      </w:r>
    </w:p>
    <w:p>
      <w:pPr>
        <w:pStyle w:val="Nivel2"/>
        <w:numPr>
          <w:ilvl w:val="1"/>
          <w:numId w:val="1"/>
        </w:numPr>
        <w:ind w:left="0" w:hanging="0"/>
        <w:rPr/>
      </w:pPr>
      <w:bookmarkStart w:id="5" w:name="_Ref117000692"/>
      <w:r>
        <w:rPr/>
        <w:t>Não poderão disputar esta licitação:</w:t>
      </w:r>
      <w:bookmarkEnd w:id="5"/>
    </w:p>
    <w:p>
      <w:pPr>
        <w:pStyle w:val="Nivel3"/>
        <w:numPr>
          <w:ilvl w:val="2"/>
          <w:numId w:val="1"/>
        </w:numPr>
        <w:ind w:left="284" w:hanging="0"/>
        <w:rPr/>
      </w:pPr>
      <w:bookmarkStart w:id="6" w:name="_Ref113883338"/>
      <w:r>
        <w:rPr/>
        <w:t>aquele que não atenda às condições deste Edital e seu(s) anexo(s);</w:t>
      </w:r>
    </w:p>
    <w:p>
      <w:pPr>
        <w:pStyle w:val="Nivel3"/>
        <w:numPr>
          <w:ilvl w:val="2"/>
          <w:numId w:val="1"/>
        </w:numPr>
        <w:ind w:left="284" w:hanging="0"/>
        <w:rPr/>
      </w:pPr>
      <w:bookmarkStart w:id="7" w:name="_Ref113883338"/>
      <w:bookmarkStart w:id="8" w:name="_Ref114659912"/>
      <w:r>
        <w:rPr/>
        <w:t>autor do anteprojeto, do projeto básico ou do projeto executivo, pessoa física ou jurídica, quando a licitação versar sobre serviços ou fornecimento de bens a ele relacionados;</w:t>
      </w:r>
      <w:bookmarkEnd w:id="7"/>
      <w:bookmarkEnd w:id="8"/>
    </w:p>
    <w:p>
      <w:pPr>
        <w:pStyle w:val="Nivel3"/>
        <w:numPr>
          <w:ilvl w:val="2"/>
          <w:numId w:val="1"/>
        </w:numPr>
        <w:ind w:left="284" w:hanging="0"/>
        <w:rPr/>
      </w:pPr>
      <w:bookmarkStart w:id="9" w:name="_Ref113883339"/>
      <w:bookmarkStart w:id="10" w:name="_Ref114659913"/>
      <w:r>
        <w:rPr/>
        <w:t>empresa, isoladamente ou em consórcio, responsável pela elaboração do projeto básico ou do projeto executivo, ou empresa da qual o autor do projeto seja dirigente, gerente, controlador, acionista ou detentor de mais de 5% (cinco por cento) do capital com direito a voto, responsável técnico ou subcontratado, quando a licitação versar sobre serviços ou fornecimento de bens a ela necessários;</w:t>
      </w:r>
      <w:bookmarkEnd w:id="10"/>
      <w:r>
        <w:rPr/>
        <w:t xml:space="preserve"> </w:t>
      </w:r>
      <w:bookmarkEnd w:id="9"/>
    </w:p>
    <w:p>
      <w:pPr>
        <w:pStyle w:val="Nivel3"/>
        <w:numPr>
          <w:ilvl w:val="2"/>
          <w:numId w:val="1"/>
        </w:numPr>
        <w:ind w:left="284" w:hanging="0"/>
        <w:rPr/>
      </w:pPr>
      <w:bookmarkStart w:id="11" w:name="_Ref113883003"/>
      <w:r>
        <w:rPr/>
        <w:t>pessoa física ou jurídica que se encontre, ao tempo da licitação, impossibilitada de participar da licitação em decorrência de sanção que lhe foi imposta;</w:t>
      </w:r>
      <w:bookmarkEnd w:id="11"/>
    </w:p>
    <w:p>
      <w:pPr>
        <w:pStyle w:val="Nivel3"/>
        <w:numPr>
          <w:ilvl w:val="2"/>
          <w:numId w:val="1"/>
        </w:numPr>
        <w:ind w:left="284" w:hanging="0"/>
        <w:rPr/>
      </w:pPr>
      <w:r>
        <w:rPr/>
        <w:t>aquele que mantenha vínculo de natureza técnica, comercial, econômica, financeira, trabalhista ou civil com dirigente do órgão ou entidade contratante ou com agente público que desempenhe função na licitação ou atue na fiscalização ou na gestão do contrato, ou que deles seja cônjuge, companheiro ou parente em linha reta, colateral ou por afinidade, até o terceiro grau;</w:t>
      </w:r>
    </w:p>
    <w:p>
      <w:pPr>
        <w:pStyle w:val="Nivel3"/>
        <w:numPr>
          <w:ilvl w:val="2"/>
          <w:numId w:val="1"/>
        </w:numPr>
        <w:ind w:left="284" w:hanging="0"/>
        <w:rPr/>
      </w:pPr>
      <w:bookmarkStart w:id="12" w:name="_Ref113883579"/>
      <w:r>
        <w:rPr/>
        <w:t>empresas controladoras, controladas ou coligadas, nos termos da Lei nº 6.404, de 15 de dezembro de 1976, concorrendo entre si;</w:t>
      </w:r>
      <w:bookmarkEnd w:id="12"/>
    </w:p>
    <w:p>
      <w:pPr>
        <w:pStyle w:val="Nivel3"/>
        <w:numPr>
          <w:ilvl w:val="2"/>
          <w:numId w:val="1"/>
        </w:numPr>
        <w:ind w:left="284" w:hanging="0"/>
        <w:rPr/>
      </w:pPr>
      <w:r>
        <w:rPr/>
        <w:t>pessoa física ou jurídica que, nos 5 (cinco) anos anteriores à divulgação do edital, tenha sido condenada judicialmente, com trânsito em julgado, por exploração de trabalho infantil, por submissão de trabalhadores a condições análogas às de escravo ou por contratação de adolescentes nos casos vedados pela legislação trabalhista;</w:t>
      </w:r>
    </w:p>
    <w:p>
      <w:pPr>
        <w:pStyle w:val="Nivel3"/>
        <w:numPr>
          <w:ilvl w:val="2"/>
          <w:numId w:val="1"/>
        </w:numPr>
        <w:ind w:left="284" w:hanging="0"/>
        <w:rPr/>
      </w:pPr>
      <w:bookmarkStart w:id="13" w:name="_Ref113962336"/>
      <w:r>
        <w:rPr/>
        <w:t>agente público do órgão ou entidade licitante;</w:t>
      </w:r>
      <w:bookmarkEnd w:id="13"/>
    </w:p>
    <w:p>
      <w:pPr>
        <w:pStyle w:val="Nvel3R"/>
        <w:numPr>
          <w:ilvl w:val="2"/>
          <w:numId w:val="1"/>
        </w:numPr>
        <w:ind w:left="284" w:hanging="0"/>
        <w:rPr/>
      </w:pPr>
      <w:commentRangeStart w:id="0"/>
      <w:r>
        <w:rPr>
          <w:strike/>
        </w:rPr>
        <w:t>pessoas jurídicas reunidas em consórcio;</w:t>
      </w:r>
      <w:commentRangeEnd w:id="0"/>
      <w:r>
        <w:commentReference w:id="0"/>
      </w:r>
      <w:r>
        <w:rPr/>
      </w:r>
    </w:p>
    <w:p>
      <w:pPr>
        <w:pStyle w:val="Nivel3"/>
        <w:numPr>
          <w:ilvl w:val="2"/>
          <w:numId w:val="1"/>
        </w:numPr>
        <w:ind w:left="284" w:hanging="0"/>
        <w:rPr/>
      </w:pPr>
      <w:r>
        <w:rPr/>
        <w:t>Organizações da Sociedade Civil de Interesse Público - OSCIP, atuando nessa condição;</w:t>
      </w:r>
    </w:p>
    <w:p>
      <w:pPr>
        <w:pStyle w:val="Nivel3"/>
        <w:numPr>
          <w:ilvl w:val="2"/>
          <w:numId w:val="1"/>
        </w:numPr>
        <w:ind w:left="284" w:hanging="0"/>
        <w:rPr/>
      </w:pPr>
      <w:r>
        <w:rPr/>
        <w:t xml:space="preserve">Não poderá participar, direta ou indiretamente, da licitação ou da execução do contrato agente público do órgão ou entidade contratante, devendo ser observadas as situações que possam configurar conflito de interesses no exercício ou após o exercício do cargo ou emprego, nos termos da legislação que disciplina a matéria, conforme </w:t>
      </w:r>
      <w:r>
        <w:fldChar w:fldCharType="begin"/>
      </w:r>
      <w:r>
        <w:rPr>
          <w:rStyle w:val="LinkdaInternet"/>
        </w:rPr>
        <w:instrText> HYPERLINK "http://www.planalto.gov.br/ccivil_03/_ato2019-2022/2021/lei/L14133.htm" \l "art9§1"</w:instrText>
      </w:r>
      <w:r>
        <w:rPr>
          <w:rStyle w:val="LinkdaInternet"/>
        </w:rPr>
        <w:fldChar w:fldCharType="separate"/>
      </w:r>
      <w:r>
        <w:rPr>
          <w:rStyle w:val="LinkdaInternet"/>
        </w:rPr>
        <w:t>§ 1º do art. 9º da Lei nº 14.133, de 2021</w:t>
      </w:r>
      <w:r>
        <w:rPr>
          <w:rStyle w:val="LinkdaInternet"/>
        </w:rPr>
        <w:fldChar w:fldCharType="end"/>
      </w:r>
      <w:r>
        <w:rPr/>
        <w:t>.</w:t>
      </w:r>
    </w:p>
    <w:p>
      <w:pPr>
        <w:pStyle w:val="Nivel2"/>
        <w:numPr>
          <w:ilvl w:val="1"/>
          <w:numId w:val="1"/>
        </w:numPr>
        <w:ind w:left="0" w:hanging="0"/>
        <w:rPr/>
      </w:pPr>
      <w:r>
        <w:rPr/>
        <w:t xml:space="preserve">O impedimento de que trata o item </w:t>
      </w:r>
      <w:r>
        <w:rPr/>
        <w:fldChar w:fldCharType="begin"/>
      </w:r>
      <w:r>
        <w:rPr/>
        <w:instrText> REF _Ref113883003 \r \h </w:instrText>
      </w:r>
      <w:r>
        <w:rPr/>
        <w:fldChar w:fldCharType="separate"/>
      </w:r>
      <w:r>
        <w:rPr/>
        <w:t>3.7.4.</w:t>
      </w:r>
      <w:r>
        <w:rPr/>
        <w:fldChar w:fldCharType="end"/>
      </w:r>
      <w:r>
        <w:rPr/>
        <w:t xml:space="preserve"> será também aplicado ao licitante que atue em substituição a outra pessoa, física ou jurídica, com o intuito de burlar a efetividade da sanção a ela aplicada, inclusive a sua controladora, controlada ou coligada, desde que devidamente comprovado o ilícito ou a utilização fraudulenta da personalidade jurídica do licitante.</w:t>
      </w:r>
    </w:p>
    <w:p>
      <w:pPr>
        <w:pStyle w:val="Nivel2"/>
        <w:numPr>
          <w:ilvl w:val="1"/>
          <w:numId w:val="1"/>
        </w:numPr>
        <w:ind w:left="0" w:hanging="0"/>
        <w:rPr/>
      </w:pPr>
      <w:bookmarkStart w:id="14" w:name="art14§2"/>
      <w:bookmarkEnd w:id="14"/>
      <w:r>
        <w:rPr/>
        <w:t xml:space="preserve">A critério da Administração e exclusivamente a seu serviço, o autor dos projetos e a empresa a que se referem os itens </w:t>
      </w:r>
      <w:r>
        <w:rPr/>
        <w:fldChar w:fldCharType="begin"/>
      </w:r>
      <w:r>
        <w:rPr/>
        <w:instrText> REF _Ref114659912 \r \h </w:instrText>
      </w:r>
      <w:r>
        <w:rPr/>
        <w:fldChar w:fldCharType="separate"/>
      </w:r>
      <w:r>
        <w:rPr/>
        <w:t>3.7.2.</w:t>
      </w:r>
      <w:r>
        <w:rPr/>
        <w:fldChar w:fldCharType="end"/>
      </w:r>
      <w:r>
        <w:rPr/>
        <w:t xml:space="preserve"> e </w:t>
      </w:r>
      <w:r>
        <w:rPr/>
        <w:fldChar w:fldCharType="begin"/>
      </w:r>
      <w:r>
        <w:rPr/>
        <w:instrText> REF _Ref114659913 \r \h </w:instrText>
      </w:r>
      <w:r>
        <w:rPr/>
        <w:fldChar w:fldCharType="separate"/>
      </w:r>
      <w:r>
        <w:rPr/>
        <w:t>3.7.3.</w:t>
      </w:r>
      <w:r>
        <w:rPr/>
        <w:fldChar w:fldCharType="end"/>
      </w:r>
      <w:r>
        <w:rPr/>
        <w:t xml:space="preserve"> poderão participar no apoio das atividades de planejamento da contratação, de execução da licitação ou de gestão do contrato, desde que sob supervisão exclusiva de agentes públicos do órgão ou entidade.</w:t>
      </w:r>
    </w:p>
    <w:p>
      <w:pPr>
        <w:pStyle w:val="Nivel2"/>
        <w:numPr>
          <w:ilvl w:val="1"/>
          <w:numId w:val="1"/>
        </w:numPr>
        <w:ind w:left="0" w:hanging="0"/>
        <w:rPr/>
      </w:pPr>
      <w:bookmarkStart w:id="15" w:name="art14§3"/>
      <w:bookmarkEnd w:id="15"/>
      <w:r>
        <w:rPr/>
        <w:t>Equiparam-se aos autores do projeto as empresas integrantes do mesmo grupo econômico.</w:t>
      </w:r>
    </w:p>
    <w:p>
      <w:pPr>
        <w:pStyle w:val="Nivel2"/>
        <w:numPr>
          <w:ilvl w:val="1"/>
          <w:numId w:val="1"/>
        </w:numPr>
        <w:ind w:left="0" w:hanging="0"/>
        <w:rPr/>
      </w:pPr>
      <w:bookmarkStart w:id="16" w:name="art14§4"/>
      <w:bookmarkEnd w:id="16"/>
      <w:r>
        <w:rPr/>
        <w:t xml:space="preserve">O disposto nos itens </w:t>
      </w:r>
      <w:r>
        <w:rPr/>
        <w:fldChar w:fldCharType="begin"/>
      </w:r>
      <w:r>
        <w:rPr/>
        <w:instrText> REF _Ref114659912 \r \h </w:instrText>
      </w:r>
      <w:r>
        <w:rPr/>
        <w:fldChar w:fldCharType="separate"/>
      </w:r>
      <w:r>
        <w:rPr/>
        <w:t>3.7.2.</w:t>
      </w:r>
      <w:r>
        <w:rPr/>
        <w:fldChar w:fldCharType="end"/>
      </w:r>
      <w:r>
        <w:rPr/>
        <w:t xml:space="preserve"> e </w:t>
      </w:r>
      <w:r>
        <w:rPr/>
        <w:fldChar w:fldCharType="begin"/>
      </w:r>
      <w:r>
        <w:rPr/>
        <w:instrText> REF _Ref114659913 \r \h </w:instrText>
      </w:r>
      <w:r>
        <w:rPr/>
        <w:fldChar w:fldCharType="separate"/>
      </w:r>
      <w:r>
        <w:rPr/>
        <w:t>3.7.3.</w:t>
      </w:r>
      <w:r>
        <w:rPr/>
        <w:fldChar w:fldCharType="end"/>
      </w:r>
      <w:r>
        <w:rPr/>
        <w:t xml:space="preserve"> não impede a licitação ou a contratação de serviço que inclua como encargo do contratado a elaboração do projeto básico e do projeto executivo, nas contratações integradas, e do projeto executivo, nos demais regimes de execução.</w:t>
      </w:r>
    </w:p>
    <w:p>
      <w:pPr>
        <w:pStyle w:val="Nivel2"/>
        <w:numPr>
          <w:ilvl w:val="1"/>
          <w:numId w:val="1"/>
        </w:numPr>
        <w:ind w:left="0" w:hanging="0"/>
        <w:rPr/>
      </w:pPr>
      <w:bookmarkStart w:id="17" w:name="art14§5"/>
      <w:bookmarkEnd w:id="17"/>
      <w:r>
        <w:rPr/>
        <w:t xml:space="preserve">Em licitações e contratações realizadas no âmbito de projetos e programas parcialmente financiados por agência oficial de cooperação estrangeira ou por organismo financeiro internacional com recursos do financiamento ou da contrapartida nacional, não poderá participar pessoa física ou jurídica que integre o rol de pessoas sancionadas por essas entidades ou que seja declarada inidônea nos termos da </w:t>
      </w:r>
      <w:hyperlink r:id="rId8">
        <w:r>
          <w:rPr>
            <w:rStyle w:val="LinkdaInternet"/>
          </w:rPr>
          <w:t>Lei nº 14.133/2021</w:t>
        </w:r>
      </w:hyperlink>
      <w:r>
        <w:rPr/>
        <w:t>.</w:t>
      </w:r>
    </w:p>
    <w:p>
      <w:pPr>
        <w:pStyle w:val="Nivel2"/>
        <w:numPr>
          <w:ilvl w:val="1"/>
          <w:numId w:val="1"/>
        </w:numPr>
        <w:ind w:left="0" w:hanging="0"/>
        <w:rPr/>
      </w:pPr>
      <w:r>
        <w:rPr/>
        <w:t xml:space="preserve">A vedação de que trata o item </w:t>
      </w:r>
      <w:r>
        <w:rPr/>
        <w:fldChar w:fldCharType="begin"/>
      </w:r>
      <w:r>
        <w:rPr/>
        <w:instrText> REF _Ref113962336 \r \h </w:instrText>
      </w:r>
      <w:r>
        <w:rPr/>
        <w:fldChar w:fldCharType="separate"/>
      </w:r>
      <w:r>
        <w:rPr/>
        <w:t>3.7.8.</w:t>
      </w:r>
      <w:r>
        <w:rPr/>
        <w:fldChar w:fldCharType="end"/>
      </w:r>
      <w:r>
        <w:rPr/>
        <w:t xml:space="preserve"> estende-se a terceiro que auxilie a condução da contratação na qualidade de integrante de equipe de apoio, profissional especializado ou funcionário ou representante de empresa que preste assessoria técnica.</w:t>
      </w:r>
    </w:p>
    <w:p>
      <w:pPr>
        <w:pStyle w:val="Nivel01"/>
        <w:numPr>
          <w:ilvl w:val="0"/>
          <w:numId w:val="1"/>
        </w:numPr>
        <w:rPr/>
      </w:pPr>
      <w:bookmarkStart w:id="18" w:name="_Toc135469226"/>
      <w:r>
        <w:rPr/>
        <w:t>DA APRESENTAÇÃO DA PROPOSTA E DOS DOCUMENTOS DE HABILITAÇÃO</w:t>
      </w:r>
      <w:bookmarkEnd w:id="18"/>
    </w:p>
    <w:p>
      <w:pPr>
        <w:pStyle w:val="Nvel2Red"/>
        <w:numPr>
          <w:ilvl w:val="1"/>
          <w:numId w:val="1"/>
        </w:numPr>
        <w:ind w:left="0" w:hanging="0"/>
        <w:rPr/>
      </w:pPr>
      <w:r>
        <w:rPr>
          <w:b/>
          <w:bCs/>
          <w:i w:val="false"/>
          <w:iCs w:val="false"/>
          <w:color w:val="000000"/>
          <w:shd w:fill="FFFFFF" w:val="clear"/>
        </w:rPr>
        <w:t>Na presente licitação, a fase de habilitação sucederá as fases de apresentação de propostas e lances e de julgamento.</w:t>
      </w:r>
    </w:p>
    <w:p>
      <w:pPr>
        <w:pStyle w:val="Nivel2"/>
        <w:numPr>
          <w:ilvl w:val="1"/>
          <w:numId w:val="1"/>
        </w:numPr>
        <w:ind w:left="0" w:hanging="0"/>
        <w:rPr/>
      </w:pPr>
      <w:bookmarkStart w:id="19" w:name="_Ref113886867"/>
      <w:r>
        <w:rPr/>
        <w:t>Os licitantes encaminharão, exclusivamente por meio do sistema eletrônico, a proposta com o preço ou o percentual de desconto, conforme o critério de julgamento adotado neste Edital, até a data e o horário estabelecidos para abertura da sessão pública.</w:t>
      </w:r>
      <w:bookmarkEnd w:id="19"/>
    </w:p>
    <w:p>
      <w:pPr>
        <w:pStyle w:val="Nivel2"/>
        <w:numPr>
          <w:ilvl w:val="1"/>
          <w:numId w:val="1"/>
        </w:numPr>
        <w:ind w:left="0" w:hanging="0"/>
        <w:rPr/>
      </w:pPr>
      <w:bookmarkStart w:id="20" w:name="_Ref113889589"/>
      <w:r>
        <w:rPr/>
        <w:t xml:space="preserve">Caso a fase de habilitação anteceda as fases de apresentação de propostas e lances, os licitantes encaminharão, na forma e no prazo estabelecidos no item anterior, simultaneamente os documentos de habilitação e a proposta com o preço ou o percentual de desconto, observado o disposto nos itens </w:t>
      </w:r>
      <w:r>
        <w:rPr>
          <w:highlight w:val="yellow"/>
        </w:rPr>
        <w:fldChar w:fldCharType="begin"/>
      </w:r>
      <w:r>
        <w:rPr>
          <w:highlight w:val="yellow"/>
        </w:rPr>
        <w:instrText> REF _Ref114663777 \r \h </w:instrText>
      </w:r>
      <w:r>
        <w:rPr>
          <w:highlight w:val="yellow"/>
        </w:rPr>
        <w:fldChar w:fldCharType="separate"/>
      </w:r>
      <w:r>
        <w:rPr>
          <w:highlight w:val="yellow"/>
        </w:rPr>
        <w:t>8.1.1.</w:t>
      </w:r>
      <w:r>
        <w:rPr>
          <w:highlight w:val="yellow"/>
        </w:rPr>
        <w:fldChar w:fldCharType="end"/>
      </w:r>
      <w:r>
        <w:rPr/>
        <w:t xml:space="preserve"> e </w:t>
      </w:r>
      <w:r>
        <w:rPr/>
        <w:fldChar w:fldCharType="begin"/>
      </w:r>
      <w:r>
        <w:rPr/>
        <w:instrText> REF _Ref114663151 \r \h </w:instrText>
      </w:r>
      <w:r>
        <w:rPr/>
        <w:fldChar w:fldCharType="separate"/>
      </w:r>
      <w:r>
        <w:rPr/>
        <w:t>8.13.1.</w:t>
      </w:r>
      <w:r>
        <w:rPr/>
        <w:fldChar w:fldCharType="end"/>
      </w:r>
      <w:r>
        <w:rPr/>
        <w:t xml:space="preserve"> deste Edital.</w:t>
      </w:r>
      <w:bookmarkEnd w:id="20"/>
    </w:p>
    <w:p>
      <w:pPr>
        <w:pStyle w:val="Nivel2"/>
        <w:numPr>
          <w:ilvl w:val="1"/>
          <w:numId w:val="1"/>
        </w:numPr>
        <w:ind w:left="0" w:hanging="0"/>
        <w:rPr/>
      </w:pPr>
      <w:bookmarkStart w:id="21" w:name="_Ref113968921"/>
      <w:r>
        <w:rPr/>
        <w:t>No cadastramento da proposta inicial, o licitante declarará, em campo próprio do sistema, que:</w:t>
      </w:r>
      <w:bookmarkEnd w:id="21"/>
    </w:p>
    <w:p>
      <w:pPr>
        <w:pStyle w:val="Nivel3"/>
        <w:numPr>
          <w:ilvl w:val="2"/>
          <w:numId w:val="1"/>
        </w:numPr>
        <w:spacing w:lineRule="auto" w:line="312" w:before="288" w:after="288"/>
        <w:ind w:left="0" w:firstLine="709"/>
        <w:rPr>
          <w:color w:val="auto"/>
        </w:rPr>
      </w:pPr>
      <w:r>
        <w:rPr>
          <w:color w:val="auto"/>
        </w:rPr>
        <w:t>está ciente e concorda com as condições contidas no edital e seus anexos, bem como de que a proposta apresentada compreende a integralidade dos custos para atendimento dos direitos trabalhistas assegurados na Constituição Federal, nas leis trabalhistas, nas normas infralegais, nas convenções coletivas de trabalho e nos termos de ajustamento de conduta vigentes na data de sua entrega em definitivo e que cumpre plenamente os requisitos de habilitação definidos no instrumento convocatório;</w:t>
      </w:r>
    </w:p>
    <w:p>
      <w:pPr>
        <w:pStyle w:val="Nivel3"/>
        <w:numPr>
          <w:ilvl w:val="2"/>
          <w:numId w:val="1"/>
        </w:numPr>
        <w:ind w:left="284" w:hanging="0"/>
        <w:rPr/>
      </w:pPr>
      <w:r>
        <w:rPr/>
        <w:t xml:space="preserve">não emprega menor de 18 anos em trabalho noturno, perigoso ou insalubre e não emprega menor de 16 anos, salvo menor, a partir de 14 anos, na condição de aprendiz, nos termos do </w:t>
      </w:r>
      <w:r>
        <w:fldChar w:fldCharType="begin"/>
      </w:r>
      <w:r>
        <w:rPr>
          <w:rStyle w:val="LinkdaInternet"/>
        </w:rPr>
        <w:instrText> HYPERLINK "https://www.planalto.gov.br/ccivil_03/constituicao/constituicaocompilado.htm" \l "art7"</w:instrText>
      </w:r>
      <w:r>
        <w:rPr>
          <w:rStyle w:val="LinkdaInternet"/>
        </w:rPr>
        <w:fldChar w:fldCharType="separate"/>
      </w:r>
      <w:r>
        <w:rPr>
          <w:rStyle w:val="LinkdaInternet"/>
        </w:rPr>
        <w:t>artigo 7°, XXXIII, da Constituição</w:t>
      </w:r>
      <w:r>
        <w:rPr>
          <w:rStyle w:val="LinkdaInternet"/>
        </w:rPr>
        <w:fldChar w:fldCharType="end"/>
      </w:r>
      <w:r>
        <w:rPr/>
        <w:t>;</w:t>
      </w:r>
    </w:p>
    <w:p>
      <w:pPr>
        <w:pStyle w:val="Nivel3"/>
        <w:numPr>
          <w:ilvl w:val="2"/>
          <w:numId w:val="1"/>
        </w:numPr>
        <w:ind w:left="284" w:hanging="0"/>
        <w:rPr/>
      </w:pPr>
      <w:r>
        <w:rPr/>
        <w:t xml:space="preserve">não possui empregados executando trabalho degradante ou forçado, observando o disposto nos </w:t>
      </w:r>
      <w:hyperlink r:id="rId9">
        <w:r>
          <w:rPr>
            <w:rStyle w:val="LinkdaInternet"/>
          </w:rPr>
          <w:t>incisos III e IV do art. 1º e no inciso III do art. 5º da Constituição Federal</w:t>
        </w:r>
      </w:hyperlink>
      <w:r>
        <w:rPr/>
        <w:t>;</w:t>
      </w:r>
    </w:p>
    <w:p>
      <w:pPr>
        <w:pStyle w:val="Nivel3"/>
        <w:numPr>
          <w:ilvl w:val="2"/>
          <w:numId w:val="1"/>
        </w:numPr>
        <w:ind w:left="284" w:hanging="0"/>
        <w:rPr/>
      </w:pPr>
      <w:r>
        <w:rPr/>
        <w:t>cumpre as exigências de reserva de cargos para pessoa com deficiência e para reabilitado da Previdência Social, previstas em lei e em outras normas específicas.</w:t>
      </w:r>
    </w:p>
    <w:p>
      <w:pPr>
        <w:pStyle w:val="Nivel2"/>
        <w:numPr>
          <w:ilvl w:val="1"/>
          <w:numId w:val="1"/>
        </w:numPr>
        <w:ind w:left="0" w:hanging="0"/>
        <w:rPr/>
      </w:pPr>
      <w:r>
        <w:rPr/>
        <w:t xml:space="preserve">O licitante organizado em cooperativa deverá declarar, ainda, em campo próprio do sistema eletrônico, que cumpre os requisitos estabelecidos no </w:t>
      </w:r>
      <w:r>
        <w:fldChar w:fldCharType="begin"/>
      </w:r>
      <w:r>
        <w:rPr>
          <w:rStyle w:val="LinkdaInternet"/>
        </w:rPr>
        <w:instrText> HYPERLINK "http://www.planalto.gov.br/ccivil_03/_ato2019-2022/2021/lei/L14133.htm" \l "art16"</w:instrText>
      </w:r>
      <w:r>
        <w:rPr>
          <w:rStyle w:val="LinkdaInternet"/>
        </w:rPr>
        <w:fldChar w:fldCharType="separate"/>
      </w:r>
      <w:r>
        <w:rPr>
          <w:rStyle w:val="LinkdaInternet"/>
        </w:rPr>
        <w:t>artigo 16 da Lei nº 14.133, de 2021</w:t>
      </w:r>
      <w:r>
        <w:rPr>
          <w:rStyle w:val="LinkdaInternet"/>
        </w:rPr>
        <w:fldChar w:fldCharType="end"/>
      </w:r>
      <w:r>
        <w:rPr/>
        <w:t>.</w:t>
      </w:r>
    </w:p>
    <w:p>
      <w:pPr>
        <w:pStyle w:val="Nivel2"/>
        <w:numPr>
          <w:ilvl w:val="1"/>
          <w:numId w:val="1"/>
        </w:numPr>
        <w:ind w:left="0" w:hanging="0"/>
        <w:rPr/>
      </w:pPr>
      <w:bookmarkStart w:id="22" w:name="_Ref117000019"/>
      <w:r>
        <w:rPr/>
        <w:t xml:space="preserve">O fornecedor enquadrado como microempresa, empresa de pequeno porte ou sociedade cooperativa deverá declarar, ainda, em campo próprio do sistema eletrônico, que cumpre os requisitos estabelecidos no </w:t>
      </w:r>
      <w:r>
        <w:fldChar w:fldCharType="begin"/>
      </w:r>
      <w:r>
        <w:rPr>
          <w:rStyle w:val="LinkdaInternet"/>
        </w:rPr>
        <w:instrText> HYPERLINK "https://www.planalto.gov.br/ccivil_03/leis/lcp/lcp123.htm" \l "art3"</w:instrText>
      </w:r>
      <w:r>
        <w:rPr>
          <w:rStyle w:val="LinkdaInternet"/>
        </w:rPr>
        <w:fldChar w:fldCharType="separate"/>
      </w:r>
      <w:r>
        <w:rPr>
          <w:rStyle w:val="LinkdaInternet"/>
        </w:rPr>
        <w:t>artigo 3° da Lei Complementar nº 123, de 2006</w:t>
      </w:r>
      <w:r>
        <w:rPr>
          <w:rStyle w:val="LinkdaInternet"/>
        </w:rPr>
        <w:fldChar w:fldCharType="end"/>
      </w:r>
      <w:r>
        <w:rPr/>
        <w:t xml:space="preserve">, estando apto a usufruir do tratamento favorecido estabelecido em seus </w:t>
      </w:r>
      <w:r>
        <w:fldChar w:fldCharType="begin"/>
      </w:r>
      <w:r>
        <w:rPr>
          <w:rStyle w:val="LinkdaInternet"/>
        </w:rPr>
        <w:instrText> HYPERLINK "https://www.planalto.gov.br/ccivil_03/leis/lcp/lcp123.htm" \l "art42"</w:instrText>
      </w:r>
      <w:r>
        <w:rPr>
          <w:rStyle w:val="LinkdaInternet"/>
        </w:rPr>
        <w:fldChar w:fldCharType="separate"/>
      </w:r>
      <w:bookmarkEnd w:id="22"/>
      <w:r>
        <w:rPr>
          <w:rStyle w:val="LinkdaInternet"/>
        </w:rPr>
        <w:t>arts. 42 a 49</w:t>
      </w:r>
      <w:r>
        <w:rPr>
          <w:rStyle w:val="LinkdaInternet"/>
        </w:rPr>
        <w:fldChar w:fldCharType="end"/>
      </w:r>
      <w:r>
        <w:rPr/>
        <w:t xml:space="preserve">, observado o disposto nos </w:t>
      </w:r>
      <w:r>
        <w:fldChar w:fldCharType="begin"/>
      </w:r>
      <w:r>
        <w:rPr>
          <w:rStyle w:val="LinkdaInternet"/>
        </w:rPr>
        <w:instrText> HYPERLINK "http://www.planalto.gov.br/ccivil_03/_ato2019-2022/2021/lei/L14133.htm" \l "art4§1"</w:instrText>
      </w:r>
      <w:r>
        <w:rPr>
          <w:rStyle w:val="LinkdaInternet"/>
        </w:rPr>
        <w:fldChar w:fldCharType="separate"/>
      </w:r>
      <w:r>
        <w:rPr>
          <w:rStyle w:val="LinkdaInternet"/>
        </w:rPr>
        <w:t>§§ 1º ao 3º do art. 4º, da Lei n.º 14.133, de 2021.</w:t>
      </w:r>
      <w:r>
        <w:rPr>
          <w:rStyle w:val="LinkdaInternet"/>
        </w:rPr>
        <w:fldChar w:fldCharType="end"/>
      </w:r>
    </w:p>
    <w:p>
      <w:pPr>
        <w:pStyle w:val="Nivel3"/>
        <w:numPr>
          <w:ilvl w:val="2"/>
          <w:numId w:val="1"/>
        </w:numPr>
        <w:ind w:left="284" w:hanging="0"/>
        <w:rPr>
          <w:shd w:fill="FFFFFF" w:val="clear"/>
        </w:rPr>
      </w:pPr>
      <w:r>
        <w:rPr>
          <w:shd w:fill="FFFFFF" w:val="clear"/>
        </w:rPr>
        <w:t>no item exclusivo para participação de microempresas e empresas de pequeno porte, a assinalação do campo “não” impedirá o prosseguimento no certame, para aquele item;</w:t>
      </w:r>
    </w:p>
    <w:p>
      <w:pPr>
        <w:pStyle w:val="Nivel3"/>
        <w:numPr>
          <w:ilvl w:val="2"/>
          <w:numId w:val="1"/>
        </w:numPr>
        <w:ind w:left="284" w:hanging="0"/>
        <w:rPr/>
      </w:pPr>
      <w:r>
        <w:rPr>
          <w:shd w:fill="FFFFFF" w:val="clear"/>
        </w:rPr>
        <w:t xml:space="preserve">nos itens em que a participação não for exclusiva para microempresas e empresas de pequeno porte, a assinalação do campo “não” apenas produzirá o efeito de o licitante não ter direito ao tratamento favorecido previsto na </w:t>
      </w:r>
      <w:hyperlink r:id="rId10">
        <w:r>
          <w:rPr>
            <w:rStyle w:val="LinkdaInternet"/>
            <w:shd w:fill="FFFFFF" w:val="clear"/>
          </w:rPr>
          <w:t>Lei Complementar nº 123, de 2006</w:t>
        </w:r>
      </w:hyperlink>
      <w:r>
        <w:rPr>
          <w:shd w:fill="FFFFFF" w:val="clear"/>
        </w:rPr>
        <w:t>, mesmo que microempresa, empresa de pequeno porte ou sociedade cooperativa.</w:t>
      </w:r>
    </w:p>
    <w:p>
      <w:pPr>
        <w:pStyle w:val="Nivel2"/>
        <w:numPr>
          <w:ilvl w:val="1"/>
          <w:numId w:val="1"/>
        </w:numPr>
        <w:ind w:left="0" w:hanging="0"/>
        <w:rPr/>
      </w:pPr>
      <w:r>
        <w:rPr/>
        <w:t xml:space="preserve">A falsidade da declaração de que trata os itens </w:t>
      </w:r>
      <w:r>
        <w:rPr/>
        <w:fldChar w:fldCharType="begin"/>
      </w:r>
      <w:r>
        <w:rPr/>
        <w:instrText> REF _Ref113968921 \r \h </w:instrText>
      </w:r>
      <w:r>
        <w:rPr/>
        <w:fldChar w:fldCharType="separate"/>
      </w:r>
      <w:r>
        <w:rPr/>
        <w:t>4.4.</w:t>
      </w:r>
      <w:r>
        <w:rPr/>
        <w:fldChar w:fldCharType="end"/>
      </w:r>
      <w:r>
        <w:rPr/>
        <w:t xml:space="preserve"> ou </w:t>
      </w:r>
      <w:r>
        <w:rPr/>
        <w:fldChar w:fldCharType="begin"/>
      </w:r>
      <w:r>
        <w:rPr/>
        <w:instrText> REF _Ref117000019 \r \h </w:instrText>
      </w:r>
      <w:r>
        <w:rPr/>
        <w:fldChar w:fldCharType="separate"/>
      </w:r>
      <w:r>
        <w:rPr/>
        <w:t>4.6.</w:t>
      </w:r>
      <w:r>
        <w:rPr/>
        <w:fldChar w:fldCharType="end"/>
      </w:r>
      <w:r>
        <w:rPr/>
        <w:t xml:space="preserve"> sujeitará o licitante às sanções previstas na </w:t>
      </w:r>
      <w:hyperlink r:id="rId11">
        <w:r>
          <w:rPr>
            <w:rStyle w:val="LinkdaInternet"/>
          </w:rPr>
          <w:t>Lei nº 14.133, de 2021</w:t>
        </w:r>
      </w:hyperlink>
      <w:r>
        <w:rPr/>
        <w:t>, e neste Edital.</w:t>
      </w:r>
    </w:p>
    <w:p>
      <w:pPr>
        <w:pStyle w:val="Nivel2"/>
        <w:numPr>
          <w:ilvl w:val="1"/>
          <w:numId w:val="1"/>
        </w:numPr>
        <w:ind w:left="0" w:hanging="0"/>
        <w:rPr/>
      </w:pPr>
      <w:r>
        <w:rPr/>
        <w:t>Os licitantes poderão retirar ou substituir a proposta ou, na hipótese de a fase de habilitação anteceder as fases de apresentação de propostas e lances e de julgamento, os documentos de habilitação anteriormente inseridos no sistema, até a abertura da sessão pública.</w:t>
      </w:r>
    </w:p>
    <w:p>
      <w:pPr>
        <w:pStyle w:val="Nivel2"/>
        <w:numPr>
          <w:ilvl w:val="1"/>
          <w:numId w:val="1"/>
        </w:numPr>
        <w:ind w:left="0" w:hanging="0"/>
        <w:rPr/>
      </w:pPr>
      <w:r>
        <w:rPr/>
        <w:t>Não haverá ordem de classificação na etapa de apresentação da proposta e dos documentos de habilitação pelo licitante, o que ocorrerá somente após os procedimentos de abertura da sessão pública e da fase de envio de lances.</w:t>
      </w:r>
    </w:p>
    <w:p>
      <w:pPr>
        <w:pStyle w:val="Nivel2"/>
        <w:numPr>
          <w:ilvl w:val="1"/>
          <w:numId w:val="1"/>
        </w:numPr>
        <w:ind w:left="0" w:hanging="0"/>
        <w:rPr/>
      </w:pPr>
      <w:r>
        <w:rPr/>
        <w:t>Serão disponibilizados para acesso público os documentos que compõem a proposta dos licitantes convocados para apresentação de propostas, após a fase de envio de lances.</w:t>
      </w:r>
    </w:p>
    <w:p>
      <w:pPr>
        <w:pStyle w:val="Nivel2"/>
        <w:numPr>
          <w:ilvl w:val="1"/>
          <w:numId w:val="1"/>
        </w:numPr>
        <w:ind w:left="0" w:hanging="0"/>
        <w:rPr/>
      </w:pPr>
      <w:bookmarkStart w:id="23" w:name="_Ref116992247"/>
      <w:r>
        <w:rPr/>
        <w:t>Desde que disponibilizada a funcionalidade no sistema, o licitante poderá parametrizar o seu valor final mínimo ou o seu percentual de desconto máximo quando do cadastramento da proposta e obedecerá às seguintes regras:</w:t>
      </w:r>
      <w:bookmarkEnd w:id="23"/>
    </w:p>
    <w:p>
      <w:pPr>
        <w:pStyle w:val="Nivel3"/>
        <w:numPr>
          <w:ilvl w:val="2"/>
          <w:numId w:val="1"/>
        </w:numPr>
        <w:ind w:left="284" w:hanging="0"/>
        <w:rPr/>
      </w:pPr>
      <w:r>
        <w:rPr/>
        <w:t>a aplicação do intervalo mínimo de diferença de valores ou de percentuais entre os lances, que incidirá tanto em relação aos lances intermediários quanto em relação ao lance que cobrir a melhor oferta; e</w:t>
      </w:r>
    </w:p>
    <w:p>
      <w:pPr>
        <w:pStyle w:val="Nivel3"/>
        <w:numPr>
          <w:ilvl w:val="2"/>
          <w:numId w:val="1"/>
        </w:numPr>
        <w:ind w:left="284" w:hanging="0"/>
        <w:rPr/>
      </w:pPr>
      <w:r>
        <w:rPr/>
        <w:t>os lances serão de envio automático pelo sistema, respeitado o valor final mínimo, caso estabelecido, e o intervalo de que trata o subitem acima.</w:t>
      </w:r>
    </w:p>
    <w:p>
      <w:pPr>
        <w:pStyle w:val="Nivel2"/>
        <w:numPr>
          <w:ilvl w:val="1"/>
          <w:numId w:val="1"/>
        </w:numPr>
        <w:ind w:left="0" w:hanging="0"/>
        <w:rPr/>
      </w:pPr>
      <w:r>
        <w:rPr/>
        <w:t>O valor final mínimo ou o percentual de desconto final máximo parametrizado no sistema poderá ser alterado pelo fornecedor durante a fase de disputa, sendo vedado:</w:t>
      </w:r>
    </w:p>
    <w:p>
      <w:pPr>
        <w:pStyle w:val="Nivel3"/>
        <w:numPr>
          <w:ilvl w:val="2"/>
          <w:numId w:val="1"/>
        </w:numPr>
        <w:ind w:left="284" w:hanging="0"/>
        <w:rPr/>
      </w:pPr>
      <w:r>
        <w:rPr/>
        <w:t>valor superior a lance já registrado pelo fornecedor no sistema, quando adotado o critério de julgamento por menor preço; e</w:t>
      </w:r>
    </w:p>
    <w:p>
      <w:pPr>
        <w:pStyle w:val="Nivel3"/>
        <w:numPr>
          <w:ilvl w:val="2"/>
          <w:numId w:val="1"/>
        </w:numPr>
        <w:ind w:left="284" w:hanging="0"/>
        <w:rPr>
          <w:b/>
          <w:b/>
          <w:bCs/>
        </w:rPr>
      </w:pPr>
      <w:r>
        <w:rPr>
          <w:b/>
          <w:bCs/>
        </w:rPr>
        <w:t xml:space="preserve"> </w:t>
      </w:r>
      <w:r>
        <w:rPr>
          <w:b/>
          <w:bCs/>
        </w:rPr>
        <w:t>percentual de desconto inferior a lance já registrado pelo fornecedor no sistema, quando adotado o critério de julgamento por maior desconto.</w:t>
      </w:r>
    </w:p>
    <w:p>
      <w:pPr>
        <w:pStyle w:val="Nivel2"/>
        <w:numPr>
          <w:ilvl w:val="1"/>
          <w:numId w:val="1"/>
        </w:numPr>
        <w:ind w:left="0" w:hanging="0"/>
        <w:rPr/>
      </w:pPr>
      <w:r>
        <w:rPr/>
        <w:t xml:space="preserve">O valor final mínimo ou o percentual de desconto final máximo parametrizado na forma do item </w:t>
      </w:r>
      <w:r>
        <w:rPr/>
        <w:fldChar w:fldCharType="begin"/>
      </w:r>
      <w:r>
        <w:rPr/>
        <w:instrText> REF _Ref116992247 \r \h </w:instrText>
      </w:r>
      <w:r>
        <w:rPr/>
        <w:fldChar w:fldCharType="separate"/>
      </w:r>
      <w:r>
        <w:rPr/>
        <w:t>4.11.</w:t>
      </w:r>
      <w:r>
        <w:rPr/>
        <w:fldChar w:fldCharType="end"/>
      </w:r>
      <w:r>
        <w:rPr/>
        <w:t xml:space="preserve"> possuirá caráter sigiloso para os demais fornecedores e para o órgão ou entidade promotora da licitação, podendo ser disponibilizado estrita e permanentemente aos órgãos de controle externo e interno.</w:t>
      </w:r>
    </w:p>
    <w:p>
      <w:pPr>
        <w:pStyle w:val="Nivel2"/>
        <w:numPr>
          <w:ilvl w:val="1"/>
          <w:numId w:val="1"/>
        </w:numPr>
        <w:ind w:left="0" w:hanging="0"/>
        <w:rPr>
          <w:rFonts w:eastAsia="Times New Roman"/>
        </w:rPr>
      </w:pPr>
      <w:r>
        <w:rPr>
          <w:rFonts w:eastAsia="Times New Roman"/>
        </w:rPr>
        <w:t xml:space="preserve">Caberá ao licitante interessado em participar da licitação </w:t>
      </w:r>
      <w:r>
        <w:rPr/>
        <w:t>acompanhar as operações no sistema eletrônico durante o processo licitatório e se responsabilizar pelo ônus decorrente da perda de negócios diante da inobservância de mensagens emitidas pela Administração ou de sua desconexão.</w:t>
      </w:r>
    </w:p>
    <w:p>
      <w:pPr>
        <w:pStyle w:val="Nivel2"/>
        <w:numPr>
          <w:ilvl w:val="1"/>
          <w:numId w:val="1"/>
        </w:numPr>
        <w:ind w:left="0" w:hanging="0"/>
        <w:rPr/>
      </w:pPr>
      <w:r>
        <w:rPr>
          <w:rFonts w:eastAsia="Times New Roman"/>
        </w:rPr>
        <w:t xml:space="preserve">O licitante deverá </w:t>
      </w:r>
      <w:r>
        <w:rPr/>
        <w:t>comunicar imediatamente ao provedor do sistema qualquer acontecimento que possa comprometer o sigilo ou a segurança, para imediato bloqueio de acesso.</w:t>
      </w:r>
    </w:p>
    <w:p>
      <w:pPr>
        <w:pStyle w:val="Nivel01"/>
        <w:numPr>
          <w:ilvl w:val="0"/>
          <w:numId w:val="1"/>
        </w:numPr>
        <w:rPr/>
      </w:pPr>
      <w:bookmarkStart w:id="24" w:name="_Toc135469227"/>
      <w:r>
        <w:rPr/>
        <w:t>DO PREENCHIMENTO DA PROPOSTA</w:t>
      </w:r>
      <w:bookmarkEnd w:id="24"/>
    </w:p>
    <w:p>
      <w:pPr>
        <w:pStyle w:val="Nivel2"/>
        <w:numPr>
          <w:ilvl w:val="1"/>
          <w:numId w:val="1"/>
        </w:numPr>
        <w:ind w:left="0" w:hanging="0"/>
        <w:rPr>
          <w:rFonts w:eastAsia="Times New Roman"/>
        </w:rPr>
      </w:pPr>
      <w:r>
        <w:rPr/>
        <w:t>O licitante deverá enviar sua proposta mediante o preenchimento, no sistema eletrônico, dos seguintes campos:</w:t>
      </w:r>
    </w:p>
    <w:p>
      <w:pPr>
        <w:pStyle w:val="Nivel2"/>
        <w:numPr>
          <w:ilvl w:val="1"/>
          <w:numId w:val="1"/>
        </w:numPr>
        <w:spacing w:lineRule="auto" w:line="312" w:before="174" w:after="174"/>
        <w:ind w:left="0" w:firstLine="567"/>
        <w:rPr>
          <w:rFonts w:eastAsia="Times New Roman"/>
        </w:rPr>
      </w:pPr>
      <w:r>
        <w:rPr>
          <w:color w:val="000000" w:themeColor="text1"/>
        </w:rPr>
        <w:t>O licitante deverá enviar sua proposta mediante o preenchimento, no sistema eletrônico, dos seguintes campos:</w:t>
      </w:r>
    </w:p>
    <w:p>
      <w:pPr>
        <w:pStyle w:val="Nivel3"/>
        <w:widowControl/>
        <w:numPr>
          <w:ilvl w:val="2"/>
          <w:numId w:val="1"/>
        </w:numPr>
        <w:bidi w:val="0"/>
        <w:spacing w:lineRule="auto" w:line="312" w:before="174" w:after="174"/>
        <w:ind w:left="0" w:right="0" w:firstLine="283"/>
        <w:jc w:val="both"/>
        <w:rPr>
          <w:color w:val="auto"/>
        </w:rPr>
      </w:pPr>
      <w:r>
        <w:rPr>
          <w:color w:val="auto"/>
        </w:rPr>
        <w:t>Valor total do item;</w:t>
      </w:r>
    </w:p>
    <w:p>
      <w:pPr>
        <w:pStyle w:val="Nivel3"/>
        <w:numPr>
          <w:ilvl w:val="2"/>
          <w:numId w:val="1"/>
        </w:numPr>
        <w:ind w:left="284" w:hanging="0"/>
        <w:rPr/>
      </w:pPr>
      <w:r>
        <w:rPr/>
        <w:t>Marca;</w:t>
      </w:r>
    </w:p>
    <w:p>
      <w:pPr>
        <w:pStyle w:val="Nvel3R"/>
        <w:numPr>
          <w:ilvl w:val="2"/>
          <w:numId w:val="1"/>
        </w:numPr>
        <w:ind w:left="284" w:hanging="0"/>
        <w:rPr>
          <w:i w:val="false"/>
          <w:i w:val="false"/>
          <w:iCs w:val="false"/>
          <w:color w:val="000000"/>
        </w:rPr>
      </w:pPr>
      <w:r>
        <w:rPr>
          <w:i w:val="false"/>
          <w:iCs w:val="false"/>
          <w:color w:val="000000"/>
        </w:rPr>
        <w:t xml:space="preserve">Fabricante; </w:t>
      </w:r>
    </w:p>
    <w:p>
      <w:pPr>
        <w:pStyle w:val="Nivel3"/>
        <w:widowControl/>
        <w:numPr>
          <w:ilvl w:val="2"/>
          <w:numId w:val="1"/>
        </w:numPr>
        <w:bidi w:val="0"/>
        <w:spacing w:lineRule="auto" w:line="312" w:before="174" w:after="174"/>
        <w:ind w:left="0" w:right="0" w:firstLine="283"/>
        <w:jc w:val="both"/>
        <w:rPr>
          <w:b/>
          <w:b/>
          <w:bCs/>
          <w:color w:val="auto"/>
        </w:rPr>
      </w:pPr>
      <w:r>
        <w:rPr>
          <w:rStyle w:val="Eop"/>
          <w:b/>
          <w:bCs/>
          <w:color w:val="000000"/>
          <w:shd w:fill="FFFFFF" w:val="clear"/>
        </w:rPr>
        <w:t>Descrição do objeto, contendo as informações de acordo à especificação do Termo de Referência</w:t>
      </w:r>
      <w:r>
        <w:rPr>
          <w:rStyle w:val="Eop"/>
          <w:b/>
          <w:bCs/>
          <w:i/>
          <w:color w:val="000000"/>
          <w:shd w:fill="FFFFFF" w:val="clear"/>
        </w:rPr>
        <w:t xml:space="preserve">; </w:t>
      </w:r>
    </w:p>
    <w:p>
      <w:pPr>
        <w:pStyle w:val="Nivel2"/>
        <w:numPr>
          <w:ilvl w:val="1"/>
          <w:numId w:val="1"/>
        </w:numPr>
        <w:ind w:left="0" w:hanging="0"/>
        <w:rPr/>
      </w:pPr>
      <w:r>
        <w:rPr/>
        <w:t>Todas as especificações do objeto contidas na proposta vinculam o licitante.</w:t>
      </w:r>
    </w:p>
    <w:p>
      <w:pPr>
        <w:pStyle w:val="Nivel2"/>
        <w:numPr>
          <w:ilvl w:val="1"/>
          <w:numId w:val="1"/>
        </w:numPr>
        <w:ind w:left="0" w:hanging="0"/>
        <w:rPr/>
      </w:pPr>
      <w:r>
        <w:rPr/>
        <w:t>Nos valores propostos estarão inclusos todos os custos operacionais, encargos previdenciários, trabalhistas, tributários, comerciais e quaisquer outros que incidam direta ou indiretamente na execução do objeto.</w:t>
      </w:r>
    </w:p>
    <w:p>
      <w:pPr>
        <w:pStyle w:val="Nivel2"/>
        <w:numPr>
          <w:ilvl w:val="1"/>
          <w:numId w:val="1"/>
        </w:numPr>
        <w:ind w:left="0" w:hanging="0"/>
        <w:rPr/>
      </w:pPr>
      <w:r>
        <w:rPr/>
        <w:t>Os preços ofertados, tanto na proposta inicial, quanto na etapa de lances, serão de exclusiva responsabilidade do licitante, não lhe assistindo o direito de pleitear qualquer alteração, sob alegação de erro, omissão ou qualquer outro pretexto.</w:t>
      </w:r>
    </w:p>
    <w:p>
      <w:pPr>
        <w:pStyle w:val="Nivel2"/>
        <w:numPr>
          <w:ilvl w:val="1"/>
          <w:numId w:val="1"/>
        </w:numPr>
        <w:ind w:left="0" w:hanging="0"/>
        <w:rPr/>
      </w:pPr>
      <w:r>
        <w:rPr/>
        <w:t xml:space="preserve">Se o regime tributário da empresa implicar o recolhimento de tributos em percentuais variáveis, a cotação adequada será a que corresponde à média dos efetivos recolhimentos da empresa nos últimos doze meses. </w:t>
      </w:r>
    </w:p>
    <w:p>
      <w:pPr>
        <w:pStyle w:val="Nivel2"/>
        <w:numPr>
          <w:ilvl w:val="1"/>
          <w:numId w:val="1"/>
        </w:numPr>
        <w:ind w:left="0" w:hanging="0"/>
        <w:rPr>
          <w:shd w:fill="FFFFFF" w:val="clear"/>
        </w:rPr>
      </w:pPr>
      <w:r>
        <w:rPr/>
        <w:t>Independentemente do percentual de tributo inserido na planilha, no pagamento serão retidos na fonte os percentuais estabelecidos na legislação vigente.</w:t>
      </w:r>
    </w:p>
    <w:p>
      <w:pPr>
        <w:pStyle w:val="Nvel2Red"/>
        <w:numPr>
          <w:ilvl w:val="1"/>
          <w:numId w:val="1"/>
        </w:numPr>
        <w:ind w:left="0" w:hanging="0"/>
        <w:rPr>
          <w:highlight w:val="yellow"/>
        </w:rPr>
      </w:pPr>
      <w:r>
        <w:rPr>
          <w:i w:val="false"/>
          <w:iCs w:val="false"/>
          <w:color w:val="000000"/>
          <w:shd w:fill="auto" w:val="clear"/>
        </w:rPr>
        <w:t>Na presente licitação, a Microempresa e a Empresa de Pequeno Porte poderão se beneficiar do regime de tributação pelo Simples Nacional</w:t>
      </w:r>
      <w:r>
        <w:rPr>
          <w:color w:val="000000"/>
          <w:shd w:fill="FFFFFF" w:val="clear"/>
        </w:rPr>
        <w:t>.</w:t>
      </w:r>
    </w:p>
    <w:p>
      <w:pPr>
        <w:pStyle w:val="Nivel2"/>
        <w:numPr>
          <w:ilvl w:val="1"/>
          <w:numId w:val="1"/>
        </w:numPr>
        <w:ind w:left="0" w:hanging="0"/>
        <w:rPr/>
      </w:pPr>
      <w:r>
        <w:rPr/>
        <w:t>A apresentação das propostas implica obrigatoriedade do cumprimento das disposições nelas contidas, em conformidade com o que dispõe o Termo de Referência, assumindo o proponente o compromisso de executar o objeto licitado nos seus termos, bem como de fornecer os materiais, equipamentos, ferramentas e utensílios necessários, em quantidades e qualidades adequadas à perfeita execução contratual, promovendo, quando requerido, sua substituição.</w:t>
      </w:r>
    </w:p>
    <w:p>
      <w:pPr>
        <w:pStyle w:val="Nivel3"/>
        <w:numPr>
          <w:ilvl w:val="2"/>
          <w:numId w:val="1"/>
        </w:numPr>
        <w:ind w:left="284" w:hanging="0"/>
        <w:rPr/>
      </w:pPr>
      <w:r>
        <w:rPr/>
        <w:t xml:space="preserve">O prazo de validade da proposta não será inferior a </w:t>
      </w:r>
      <w:r>
        <w:rPr>
          <w:b/>
          <w:bCs/>
          <w:color w:val="000000"/>
        </w:rPr>
        <w:t>60 (sessenta)</w:t>
      </w:r>
      <w:r>
        <w:rPr>
          <w:color w:val="FF0000"/>
        </w:rPr>
        <w:t xml:space="preserve"> </w:t>
      </w:r>
      <w:r>
        <w:rPr/>
        <w:t>dias</w:t>
      </w:r>
      <w:r>
        <w:rPr>
          <w:b/>
        </w:rPr>
        <w:t>,</w:t>
      </w:r>
      <w:r>
        <w:rPr/>
        <w:t xml:space="preserve"> a contar da data de sua apresentação.</w:t>
      </w:r>
    </w:p>
    <w:p>
      <w:pPr>
        <w:pStyle w:val="Nivel3"/>
        <w:numPr>
          <w:ilvl w:val="2"/>
          <w:numId w:val="1"/>
        </w:numPr>
        <w:ind w:left="284" w:hanging="0"/>
        <w:rPr/>
      </w:pPr>
      <w:r>
        <w:rPr/>
        <w:t>Os licitantes devem respeitar os preços máximos estabelecidos nas normas de regência de contratações públicas federais, quando participarem de licitações públicas;</w:t>
      </w:r>
    </w:p>
    <w:p>
      <w:pPr>
        <w:pStyle w:val="Nivel3"/>
        <w:numPr>
          <w:ilvl w:val="2"/>
          <w:numId w:val="1"/>
        </w:numPr>
        <w:ind w:left="284" w:hanging="0"/>
        <w:rPr/>
      </w:pPr>
      <w:r>
        <w:rPr/>
        <w:t>Caso o critério de julgamento seja o de maior desconto, o preço já decorrente da aplicação do desconto ofertado deverá respeitar os preços máximos previstos no item 4.9.</w:t>
      </w:r>
    </w:p>
    <w:p>
      <w:pPr>
        <w:pStyle w:val="Nivel2"/>
        <w:numPr>
          <w:ilvl w:val="1"/>
          <w:numId w:val="1"/>
        </w:numPr>
        <w:ind w:left="0" w:hanging="0"/>
        <w:rPr>
          <w:rFonts w:eastAsia="Times New Roman"/>
        </w:rPr>
      </w:pPr>
      <w:r>
        <w:rPr/>
        <w:t xml:space="preserve">O descumprimento das regras supramencionadas pela Administração por parte dos contratados pode ensejar a </w:t>
      </w:r>
      <w:r>
        <w:rPr>
          <w:color w:val="000000" w:themeColor="text1"/>
        </w:rPr>
        <w:t>responsabilização pelo</w:t>
      </w:r>
      <w:r>
        <w:rPr/>
        <w:t xml:space="preserve"> Tribunal de Contas da União e, após o devido processo legal, gerar as seguintes consequências: assinatura de prazo para a adoção das medidas necessárias ao exato cumprimento da lei, nos termos do </w:t>
      </w:r>
      <w:hyperlink r:id="rId12">
        <w:r>
          <w:rPr>
            <w:rStyle w:val="LinkdaInternet"/>
          </w:rPr>
          <w:t>art. 71, inciso IX, da Constituição</w:t>
        </w:r>
      </w:hyperlink>
      <w:r>
        <w:rPr/>
        <w:t>; ou condenação dos agentes públicos responsáveis e da empresa contratada ao pagamento dos prejuízos ao erário, caso verificada a ocorrência de superfaturamento por sobrepreço na execução do contrato.</w:t>
      </w:r>
    </w:p>
    <w:p>
      <w:pPr>
        <w:pStyle w:val="Nivel2"/>
        <w:numPr>
          <w:ilvl w:val="1"/>
          <w:numId w:val="1"/>
        </w:numPr>
        <w:ind w:left="0" w:hanging="0"/>
        <w:rPr>
          <w:strike/>
          <w:color w:val="FF0000"/>
          <w:shd w:fill="FFFFFF" w:val="clear"/>
        </w:rPr>
      </w:pPr>
      <w:r>
        <w:rPr>
          <w:strike/>
          <w:color w:val="FF0000"/>
          <w:shd w:fill="FFFFFF" w:val="clear"/>
        </w:rPr>
        <w:t>Em se tratando de serviços com fornecimento de mão de obra em regime de dedicação exclusiva, o licitante deverá indicar os sindicatos, acordos coletivos, convenções coletivas ou sentenças normativas que regem as categorias profissionais que executarão o serviço e as respectivas datas bases e vigências, com base na Classificação Brasileira de Ocupações – CBO.</w:t>
      </w:r>
    </w:p>
    <w:p>
      <w:pPr>
        <w:pStyle w:val="Nivel2"/>
        <w:numPr>
          <w:ilvl w:val="1"/>
          <w:numId w:val="1"/>
        </w:numPr>
        <w:ind w:left="0" w:hanging="0"/>
        <w:rPr>
          <w:strike/>
          <w:color w:val="FF0000"/>
          <w:shd w:fill="FFFFFF" w:val="clear"/>
        </w:rPr>
      </w:pPr>
      <w:r>
        <w:rPr>
          <w:strike/>
          <w:color w:val="FF0000"/>
          <w:shd w:fill="FFFFFF" w:val="clear"/>
        </w:rPr>
        <w:t>Em todo caso, deverá ser garantido o pagamento do salário normativo previsto no instrumento coletivo aplicável ou do salário-mínimo vigente, o que for maior.</w:t>
      </w:r>
    </w:p>
    <w:p>
      <w:pPr>
        <w:pStyle w:val="Nivel01"/>
        <w:numPr>
          <w:ilvl w:val="0"/>
          <w:numId w:val="1"/>
        </w:numPr>
        <w:rPr/>
      </w:pPr>
      <w:bookmarkStart w:id="25" w:name="_Toc135469228"/>
      <w:r>
        <w:rPr/>
        <w:t>DA ABERTURA DA SESSÃO, CLASSIFICAÇÃO DAS PROPOSTAS E FORMULAÇÃO DE LANCES</w:t>
      </w:r>
      <w:bookmarkEnd w:id="25"/>
    </w:p>
    <w:p>
      <w:pPr>
        <w:pStyle w:val="Nivel2"/>
        <w:numPr>
          <w:ilvl w:val="1"/>
          <w:numId w:val="1"/>
        </w:numPr>
        <w:ind w:left="0" w:hanging="0"/>
        <w:rPr/>
      </w:pPr>
      <w:bookmarkStart w:id="26" w:name="_Hlk114646655"/>
      <w:r>
        <w:rPr/>
        <w:t>A abertura da presente licitação dar-se-á automaticamente em sessão pública, por meio de sistema eletrônico, na data, horário e local indicados neste Edital.</w:t>
      </w:r>
    </w:p>
    <w:p>
      <w:pPr>
        <w:pStyle w:val="Nivel2"/>
        <w:numPr>
          <w:ilvl w:val="1"/>
          <w:numId w:val="1"/>
        </w:numPr>
        <w:ind w:left="0" w:hanging="0"/>
        <w:rPr/>
      </w:pPr>
      <w:r>
        <w:rPr/>
        <w:t>Os licitantes poderão retirar ou substituir a proposta ou os documentos de habilitação, quando for o caso, anteriormente inseridos no sistema, até a abertura da sessão pública.</w:t>
      </w:r>
    </w:p>
    <w:p>
      <w:pPr>
        <w:pStyle w:val="Nivel2"/>
        <w:numPr>
          <w:ilvl w:val="1"/>
          <w:numId w:val="1"/>
        </w:numPr>
        <w:ind w:left="0" w:hanging="0"/>
        <w:rPr/>
      </w:pPr>
      <w:r>
        <w:rPr/>
        <w:t>O sistema disponibilizará campo próprio para troca de mensagens entre o Pregoeiro e os licitantes.</w:t>
      </w:r>
    </w:p>
    <w:p>
      <w:pPr>
        <w:pStyle w:val="Nivel2"/>
        <w:numPr>
          <w:ilvl w:val="1"/>
          <w:numId w:val="1"/>
        </w:numPr>
        <w:ind w:left="0" w:hanging="0"/>
        <w:rPr/>
      </w:pPr>
      <w:r>
        <w:rPr/>
        <w:t xml:space="preserve">Iniciada a etapa competitiva, os licitantes deverão encaminhar lances exclusivamente por meio de sistema eletrônico, sendo imediatamente informados do seu recebimento e do valor consignado no registro. </w:t>
      </w:r>
    </w:p>
    <w:p>
      <w:pPr>
        <w:pStyle w:val="Nivel2"/>
        <w:numPr>
          <w:ilvl w:val="1"/>
          <w:numId w:val="1"/>
        </w:numPr>
        <w:ind w:left="0" w:hanging="0"/>
        <w:rPr/>
      </w:pPr>
      <w:r>
        <w:rPr/>
        <w:t xml:space="preserve">O lance deverá ser ofertado pelo valor unitário do item / </w:t>
      </w:r>
      <w:r>
        <w:rPr/>
        <w:t>maior desconto por item.</w:t>
      </w:r>
    </w:p>
    <w:p>
      <w:pPr>
        <w:pStyle w:val="Nivel2"/>
        <w:numPr>
          <w:ilvl w:val="1"/>
          <w:numId w:val="1"/>
        </w:numPr>
        <w:ind w:left="0" w:hanging="0"/>
        <w:rPr/>
      </w:pPr>
      <w:r>
        <w:rPr/>
        <w:t>Os licitantes poderão oferecer lances sucessivos, observando o horário fixado para abertura da sessão e as regras estabelecidas no Edital.</w:t>
      </w:r>
    </w:p>
    <w:p>
      <w:pPr>
        <w:pStyle w:val="Nivel2"/>
        <w:numPr>
          <w:ilvl w:val="1"/>
          <w:numId w:val="1"/>
        </w:numPr>
        <w:ind w:left="0" w:hanging="0"/>
        <w:rPr/>
      </w:pPr>
      <w:r>
        <w:rPr/>
        <w:t xml:space="preserve">O licitante somente poderá oferecer lance </w:t>
      </w:r>
      <w:r>
        <w:rPr>
          <w:i w:val="false"/>
          <w:iCs w:val="false"/>
          <w:color w:val="000000"/>
        </w:rPr>
        <w:t>de percentual de desconto superior</w:t>
      </w:r>
      <w:r>
        <w:rPr>
          <w:color w:val="FF0000"/>
        </w:rPr>
        <w:t xml:space="preserve"> </w:t>
      </w:r>
      <w:r>
        <w:rPr/>
        <w:t xml:space="preserve">ao último por ele ofertado e registrado pelo sistema. </w:t>
      </w:r>
    </w:p>
    <w:p>
      <w:pPr>
        <w:pStyle w:val="Nivel2"/>
        <w:numPr>
          <w:ilvl w:val="1"/>
          <w:numId w:val="1"/>
        </w:numPr>
        <w:ind w:left="0" w:hanging="0"/>
        <w:rPr/>
      </w:pPr>
      <w:r>
        <w:rPr/>
        <w:t>O intervalo mínimo de diferença de valores ou percentuais entre os lances, que incidirá tanto em relação aos lances intermediários quanto em relação à proposta que cobrir a melhor oferta deverá ser</w:t>
      </w:r>
      <w:r>
        <w:rPr>
          <w:i/>
          <w:iCs/>
        </w:rPr>
        <w:t xml:space="preserve"> </w:t>
      </w:r>
      <w:r>
        <w:rPr>
          <w:i/>
          <w:iCs/>
          <w:color w:val="000000"/>
        </w:rPr>
        <w:t xml:space="preserve">de </w:t>
      </w:r>
      <w:r>
        <w:rPr>
          <w:rFonts w:cs="Arial"/>
          <w:b/>
          <w:bCs/>
          <w:i w:val="false"/>
          <w:iCs w:val="false"/>
          <w:color w:val="000000"/>
          <w:sz w:val="20"/>
          <w:szCs w:val="20"/>
          <w:lang w:eastAsia="pt-BR"/>
        </w:rPr>
        <w:t>1%</w:t>
      </w:r>
      <w:r>
        <w:rPr>
          <w:b/>
          <w:bCs/>
          <w:i w:val="false"/>
          <w:iCs w:val="false"/>
          <w:color w:val="000000"/>
        </w:rPr>
        <w:t xml:space="preserve"> (</w:t>
      </w:r>
      <w:r>
        <w:rPr>
          <w:rFonts w:cs="Arial"/>
          <w:b/>
          <w:bCs/>
          <w:i w:val="false"/>
          <w:iCs w:val="false"/>
          <w:color w:val="000000"/>
          <w:sz w:val="20"/>
          <w:szCs w:val="20"/>
          <w:lang w:eastAsia="pt-BR"/>
        </w:rPr>
        <w:t>hum porcento</w:t>
      </w:r>
      <w:r>
        <w:rPr>
          <w:b/>
          <w:bCs/>
          <w:i w:val="false"/>
          <w:iCs w:val="false"/>
          <w:color w:val="000000"/>
        </w:rPr>
        <w:t>)</w:t>
      </w:r>
      <w:r>
        <w:rPr>
          <w:b/>
          <w:bCs/>
          <w:i w:val="false"/>
          <w:iCs w:val="false"/>
          <w:color w:val="000000"/>
        </w:rPr>
        <w:t>.</w:t>
      </w:r>
    </w:p>
    <w:p>
      <w:pPr>
        <w:pStyle w:val="Nivel2"/>
        <w:numPr>
          <w:ilvl w:val="1"/>
          <w:numId w:val="1"/>
        </w:numPr>
        <w:ind w:left="0" w:hanging="0"/>
        <w:rPr/>
      </w:pPr>
      <w:r>
        <w:rPr/>
        <w:t>O licitante poderá, uma única vez, excluir seu último lance ofertado, no intervalo de quinze segundos após o registro no sistema, na hipótese de lance inconsistente ou inexequível.</w:t>
      </w:r>
    </w:p>
    <w:p>
      <w:pPr>
        <w:pStyle w:val="Nivel2"/>
        <w:numPr>
          <w:ilvl w:val="1"/>
          <w:numId w:val="1"/>
        </w:numPr>
        <w:ind w:left="0" w:hanging="0"/>
        <w:rPr/>
      </w:pPr>
      <w:r>
        <w:rPr/>
        <w:t>O procedimento seguirá de acordo com o modo de disputa adotado.</w:t>
      </w:r>
    </w:p>
    <w:p>
      <w:pPr>
        <w:pStyle w:val="Nivel2"/>
        <w:numPr>
          <w:ilvl w:val="1"/>
          <w:numId w:val="1"/>
        </w:numPr>
        <w:ind w:left="0" w:hanging="0"/>
        <w:rPr>
          <w:strike/>
        </w:rPr>
      </w:pPr>
      <w:bookmarkStart w:id="27" w:name="_Hlk113697759"/>
      <w:bookmarkEnd w:id="27"/>
      <w:r>
        <w:rPr>
          <w:strike/>
        </w:rPr>
        <w:t>Caso seja adotado para o envio de lances no pregão eletrônico o modo de disputa “aberto”, os licitantes apresentarão lances públicos e sucessivos, com prorrogações.</w:t>
      </w:r>
    </w:p>
    <w:p>
      <w:pPr>
        <w:pStyle w:val="Nivel3"/>
        <w:numPr>
          <w:ilvl w:val="2"/>
          <w:numId w:val="1"/>
        </w:numPr>
        <w:ind w:left="284" w:hanging="0"/>
        <w:rPr>
          <w:strike/>
        </w:rPr>
      </w:pPr>
      <w:bookmarkStart w:id="28" w:name="_Hlk113697759"/>
      <w:bookmarkStart w:id="29" w:name="_Hlk113697816"/>
      <w:bookmarkEnd w:id="28"/>
      <w:r>
        <w:rPr>
          <w:strike/>
        </w:rPr>
        <w:t>A etapa de lances da sessão pública terá duração de dez minutos e, após isso, será prorrogada automaticamente pelo sistema quando houver lance ofertado nos últimos dois minutos do período de duração da sessão pública.</w:t>
      </w:r>
    </w:p>
    <w:p>
      <w:pPr>
        <w:pStyle w:val="Nivel3"/>
        <w:numPr>
          <w:ilvl w:val="2"/>
          <w:numId w:val="1"/>
        </w:numPr>
        <w:ind w:left="284" w:hanging="0"/>
        <w:rPr>
          <w:strike/>
        </w:rPr>
      </w:pPr>
      <w:r>
        <w:rPr>
          <w:strike/>
        </w:rPr>
        <w:t>A prorrogação automática da etapa de lances, de que trata o subitem anterior, será de dois minutos e ocorrerá sucessivamente sempre que houver lances enviados nesse período de prorrogação, inclusive no caso de lances intermediários.</w:t>
      </w:r>
    </w:p>
    <w:p>
      <w:pPr>
        <w:pStyle w:val="Nivel3"/>
        <w:numPr>
          <w:ilvl w:val="2"/>
          <w:numId w:val="1"/>
        </w:numPr>
        <w:ind w:left="284" w:hanging="0"/>
        <w:rPr>
          <w:strike/>
        </w:rPr>
      </w:pPr>
      <w:r>
        <w:rPr>
          <w:strike/>
        </w:rPr>
        <w:t>Não havendo novos lances na forma estabelecida nos itens anteriores, a sessão pública encerrar-se-á automaticamente, e o sistema ordenará e divulgará os lances conforme a ordem final de classificação.</w:t>
      </w:r>
    </w:p>
    <w:p>
      <w:pPr>
        <w:pStyle w:val="Nivel3"/>
        <w:numPr>
          <w:ilvl w:val="2"/>
          <w:numId w:val="1"/>
        </w:numPr>
        <w:ind w:left="284" w:hanging="0"/>
        <w:rPr>
          <w:strike/>
        </w:rPr>
      </w:pPr>
      <w:r>
        <w:rPr>
          <w:strike/>
        </w:rPr>
        <w:t>Definida a melhor proposta, se a diferença em relação à proposta classificada em segundo lugar for de pelo menos 5% (cinco por cento), o pregoeiro, auxiliado pela equipe de apoio, poderá admitir o reinício da disputa aberta, para a definição das demais colocações.</w:t>
      </w:r>
    </w:p>
    <w:p>
      <w:pPr>
        <w:pStyle w:val="Nivel3"/>
        <w:numPr>
          <w:ilvl w:val="2"/>
          <w:numId w:val="1"/>
        </w:numPr>
        <w:ind w:left="284" w:hanging="0"/>
        <w:rPr>
          <w:strike/>
        </w:rPr>
      </w:pPr>
      <w:bookmarkStart w:id="30" w:name="_Hlk113697816"/>
      <w:r>
        <w:rPr>
          <w:strike/>
        </w:rPr>
        <w:t>Após o reinício previsto no item supra, os licitantes serão convocados para apresentar lances intermediários.</w:t>
      </w:r>
      <w:bookmarkStart w:id="31" w:name="_Hlk113631522"/>
      <w:bookmarkEnd w:id="30"/>
      <w:bookmarkEnd w:id="31"/>
    </w:p>
    <w:p>
      <w:pPr>
        <w:pStyle w:val="Nivel2"/>
        <w:numPr>
          <w:ilvl w:val="1"/>
          <w:numId w:val="1"/>
        </w:numPr>
        <w:ind w:left="0" w:hanging="0"/>
        <w:rPr/>
      </w:pPr>
      <w:r>
        <w:rPr/>
        <w:t>Caso seja adotado para o envio de lances no pregão eletrônico o modo de disputa</w:t>
      </w:r>
      <w:r>
        <w:rPr>
          <w:b/>
          <w:bCs/>
        </w:rPr>
        <w:t xml:space="preserve"> “aberto e fechado”</w:t>
      </w:r>
      <w:r>
        <w:rPr/>
        <w:t>, os licitantes apresentarão lances públicos e sucessivos, com lance final e fechado.</w:t>
      </w:r>
    </w:p>
    <w:p>
      <w:pPr>
        <w:pStyle w:val="Nivel3"/>
        <w:numPr>
          <w:ilvl w:val="2"/>
          <w:numId w:val="1"/>
        </w:numPr>
        <w:ind w:left="284" w:hanging="0"/>
        <w:rPr/>
      </w:pPr>
      <w:r>
        <w:rPr/>
        <w:t>A etapa de lances da sessão pública terá duração inicial de quinze minutos. Após esse prazo, o sistema encaminhará aviso de fechamento iminente dos lances, após o que transcorrerá o período de até dez minutos, aleatoriamente determinado, findo o qual será automaticamente encerrada a recepção de lances.</w:t>
      </w:r>
    </w:p>
    <w:p>
      <w:pPr>
        <w:pStyle w:val="Nivel3"/>
        <w:numPr>
          <w:ilvl w:val="2"/>
          <w:numId w:val="1"/>
        </w:numPr>
        <w:ind w:left="284" w:hanging="0"/>
        <w:rPr/>
      </w:pPr>
      <w:r>
        <w:rPr/>
        <w:t>Encerrado o prazo previsto no subitem anterior, o sistema abrirá oportunidade para que o autor da oferta de valor mais baixo e os das ofertas com preços até 10% (dez por cento) superiores àquela possam ofertar um lance final e fechado em até cinco minutos, o qual será sigiloso até o encerramento deste prazo.</w:t>
      </w:r>
    </w:p>
    <w:p>
      <w:pPr>
        <w:pStyle w:val="Nivel3"/>
        <w:numPr>
          <w:ilvl w:val="2"/>
          <w:numId w:val="1"/>
        </w:numPr>
        <w:ind w:left="284" w:hanging="0"/>
        <w:rPr/>
      </w:pPr>
      <w:r>
        <w:rPr/>
        <w:t>No procedimento de que trata o subitem supra, o licitante poderá optar por manter o seu último lance da etapa aberta, ou por ofertar melhor lance.</w:t>
      </w:r>
    </w:p>
    <w:p>
      <w:pPr>
        <w:pStyle w:val="Nivel3"/>
        <w:numPr>
          <w:ilvl w:val="2"/>
          <w:numId w:val="1"/>
        </w:numPr>
        <w:ind w:left="284" w:hanging="0"/>
        <w:rPr/>
      </w:pPr>
      <w:r>
        <w:rPr/>
        <w:t>Não havendo pelo menos três ofertas nas condições definidas neste item, poderão os autores dos melhores lances subsequentes, na ordem de classificação, até o máximo de três, oferecer um lance final e fechado em até cinco minutos, o qual será sigiloso até o encerramento deste prazo.</w:t>
      </w:r>
    </w:p>
    <w:p>
      <w:pPr>
        <w:pStyle w:val="Nivel3"/>
        <w:numPr>
          <w:ilvl w:val="2"/>
          <w:numId w:val="1"/>
        </w:numPr>
        <w:ind w:left="284" w:hanging="0"/>
        <w:rPr/>
      </w:pPr>
      <w:bookmarkStart w:id="32" w:name="_Hlk113698144"/>
      <w:bookmarkEnd w:id="32"/>
      <w:r>
        <w:rPr/>
        <w:t>Após o término dos prazos estabelecidos nos itens anteriores, o sistema ordenará e divulgará os lances segundo a ordem crescente de valores.</w:t>
      </w:r>
    </w:p>
    <w:p>
      <w:pPr>
        <w:pStyle w:val="Nivel2"/>
        <w:numPr>
          <w:ilvl w:val="1"/>
          <w:numId w:val="1"/>
        </w:numPr>
        <w:ind w:left="0" w:hanging="0"/>
        <w:rPr>
          <w:strike/>
        </w:rPr>
      </w:pPr>
      <w:bookmarkStart w:id="33" w:name="_Hlk113698144"/>
      <w:bookmarkStart w:id="34" w:name="_Ref116973524"/>
      <w:bookmarkEnd w:id="33"/>
      <w:r>
        <w:rPr>
          <w:strike/>
        </w:rPr>
        <w:t>Caso seja adotado para o envio de lances no pregão eletrônico o modo de disputa “fechado e aberto”, poderão participar da etapa aberta somente os licitantes que apresentarem a proposta de menor preço/ maior percentual de desconto e os das propostas até 10% (dez por cento) superiores/inferiores àquela, em que os licitantes apresentarão lances públicos e sucessivos, até o encerramento da sessão e eventuais prorrogações.</w:t>
      </w:r>
      <w:bookmarkEnd w:id="34"/>
    </w:p>
    <w:p>
      <w:pPr>
        <w:pStyle w:val="Nivel3"/>
        <w:numPr>
          <w:ilvl w:val="2"/>
          <w:numId w:val="1"/>
        </w:numPr>
        <w:ind w:left="284" w:hanging="0"/>
        <w:rPr>
          <w:strike/>
        </w:rPr>
      </w:pPr>
      <w:r>
        <w:rPr>
          <w:strike/>
        </w:rPr>
        <w:t xml:space="preserve">Não havendo pelo menos 3 (três) propostas nas condições definidas no item </w:t>
      </w:r>
      <w:r>
        <w:rPr>
          <w:strike/>
        </w:rPr>
        <w:fldChar w:fldCharType="begin"/>
      </w:r>
      <w:r>
        <w:rPr>
          <w:strike/>
        </w:rPr>
        <w:instrText> REF _Ref116973524 \r \h </w:instrText>
      </w:r>
      <w:r>
        <w:rPr>
          <w:strike/>
        </w:rPr>
        <w:fldChar w:fldCharType="separate"/>
      </w:r>
      <w:r>
        <w:rPr>
          <w:strike/>
        </w:rPr>
        <w:t>6.13.</w:t>
      </w:r>
      <w:r>
        <w:rPr>
          <w:strike/>
        </w:rPr>
        <w:fldChar w:fldCharType="end"/>
      </w:r>
      <w:r>
        <w:rPr>
          <w:strike/>
        </w:rPr>
        <w:t>, poderão os licitantes que apresentaram as três melhores propostas, consideradas as empatadas, oferecer novos lances sucessivos.</w:t>
      </w:r>
    </w:p>
    <w:p>
      <w:pPr>
        <w:pStyle w:val="Nivel3"/>
        <w:numPr>
          <w:ilvl w:val="2"/>
          <w:numId w:val="1"/>
        </w:numPr>
        <w:ind w:left="284" w:hanging="0"/>
        <w:rPr>
          <w:strike/>
        </w:rPr>
      </w:pPr>
      <w:r>
        <w:rPr>
          <w:strike/>
        </w:rPr>
        <w:t>A etapa de lances da sessão pública terá duração de dez minutos e, após isso, será prorrogada automaticamente pelo sistema quando houver lance ofertado nos últimos dois minutos do período de duração da sessão pública.</w:t>
      </w:r>
    </w:p>
    <w:p>
      <w:pPr>
        <w:pStyle w:val="Nivel3"/>
        <w:numPr>
          <w:ilvl w:val="2"/>
          <w:numId w:val="1"/>
        </w:numPr>
        <w:ind w:left="284" w:hanging="0"/>
        <w:rPr>
          <w:strike/>
        </w:rPr>
      </w:pPr>
      <w:r>
        <w:rPr>
          <w:strike/>
        </w:rPr>
        <w:t>A prorrogação automática da etapa de lances, de que trata o subitem anterior, será de dois minutos e ocorrerá sucessivamente sempre que houver lances enviados nesse período de prorrogação, inclusive no caso de lances intermediários.</w:t>
      </w:r>
    </w:p>
    <w:p>
      <w:pPr>
        <w:pStyle w:val="Nivel3"/>
        <w:numPr>
          <w:ilvl w:val="2"/>
          <w:numId w:val="1"/>
        </w:numPr>
        <w:ind w:left="284" w:hanging="0"/>
        <w:rPr>
          <w:strike/>
        </w:rPr>
      </w:pPr>
      <w:r>
        <w:rPr>
          <w:strike/>
        </w:rPr>
        <w:t>Não havendo novos lances na forma estabelecida nos itens anteriores, a sessão pública encerrar-se-á automaticamente, e o sistema ordenará e divulgará os lances conforme a ordem final de classificação.</w:t>
      </w:r>
    </w:p>
    <w:p>
      <w:pPr>
        <w:pStyle w:val="Nivel3"/>
        <w:numPr>
          <w:ilvl w:val="2"/>
          <w:numId w:val="1"/>
        </w:numPr>
        <w:ind w:left="284" w:hanging="0"/>
        <w:rPr>
          <w:strike/>
        </w:rPr>
      </w:pPr>
      <w:r>
        <w:rPr>
          <w:strike/>
        </w:rPr>
        <w:t>Definida a melhor proposta, se a diferença em relação à proposta classificada em segundo lugar for de pelo menos 5% (cinco por cento), o pregoeiro, auxiliado pela equipe de apoio, poderá admitir o reinício da disputa aberta, para a definição das demais colocações.</w:t>
      </w:r>
    </w:p>
    <w:p>
      <w:pPr>
        <w:pStyle w:val="Nivel3"/>
        <w:numPr>
          <w:ilvl w:val="2"/>
          <w:numId w:val="1"/>
        </w:numPr>
        <w:ind w:left="284" w:hanging="0"/>
        <w:rPr/>
      </w:pPr>
      <w:r>
        <w:rPr>
          <w:strike/>
        </w:rPr>
        <w:t>Após o reinício previsto no subitem supra, os licitantes serão convocados para apresentar lances intermediários.</w:t>
      </w:r>
      <w:r>
        <w:rPr/>
        <w:t xml:space="preserve">  </w:t>
      </w:r>
    </w:p>
    <w:p>
      <w:pPr>
        <w:pStyle w:val="Nivel2"/>
        <w:numPr>
          <w:ilvl w:val="1"/>
          <w:numId w:val="1"/>
        </w:numPr>
        <w:ind w:left="0" w:hanging="0"/>
        <w:rPr/>
      </w:pPr>
      <w:r>
        <w:rPr/>
        <w:t>Após o término dos prazos estabelecidos nos subitens anteriores, o sistema ordenará e divulgará os lances segundo a ordem crescente de valores.</w:t>
      </w:r>
    </w:p>
    <w:p>
      <w:pPr>
        <w:pStyle w:val="Nivel2"/>
        <w:numPr>
          <w:ilvl w:val="1"/>
          <w:numId w:val="1"/>
        </w:numPr>
        <w:ind w:left="0" w:hanging="0"/>
        <w:rPr/>
      </w:pPr>
      <w:r>
        <w:rPr/>
        <w:t xml:space="preserve">Não serão aceitos dois ou mais lances de mesmo valor, prevalecendo aquele que for recebido e registrado em primeiro lugar. </w:t>
      </w:r>
    </w:p>
    <w:p>
      <w:pPr>
        <w:pStyle w:val="Nivel2"/>
        <w:numPr>
          <w:ilvl w:val="1"/>
          <w:numId w:val="1"/>
        </w:numPr>
        <w:ind w:left="0" w:hanging="0"/>
        <w:rPr/>
      </w:pPr>
      <w:r>
        <w:rPr/>
        <w:t xml:space="preserve">Durante o transcurso da sessão pública, os licitantes serão informados, em tempo real, do valor do menor lance registrado, vedada a identificação do licitante. </w:t>
      </w:r>
    </w:p>
    <w:p>
      <w:pPr>
        <w:pStyle w:val="Nivel2"/>
        <w:numPr>
          <w:ilvl w:val="1"/>
          <w:numId w:val="1"/>
        </w:numPr>
        <w:ind w:left="0" w:hanging="0"/>
        <w:rPr/>
      </w:pPr>
      <w:r>
        <w:rPr/>
        <w:t xml:space="preserve">No caso de desconexão com o Pregoeiro, no decorrer da etapa competitiva do Pregão, o sistema eletrônico poderá permanecer acessível aos licitantes para a recepção dos lances. </w:t>
      </w:r>
    </w:p>
    <w:p>
      <w:pPr>
        <w:pStyle w:val="Nivel2"/>
        <w:numPr>
          <w:ilvl w:val="1"/>
          <w:numId w:val="1"/>
        </w:numPr>
        <w:ind w:left="0" w:hanging="0"/>
        <w:rPr/>
      </w:pPr>
      <w:r>
        <w:rPr/>
        <w:t>Quando a desconexão do sistema eletrônico para o pregoeiro persistir por tempo superior a dez minutos, a sessão pública será suspensa e reiniciada somente após decorridas vinte e quatro horas da comunicação do fato pelo Pregoeiro aos participantes, no sítio eletrônico utilizado para divulgação.</w:t>
      </w:r>
    </w:p>
    <w:p>
      <w:pPr>
        <w:pStyle w:val="Nivel2"/>
        <w:numPr>
          <w:ilvl w:val="1"/>
          <w:numId w:val="1"/>
        </w:numPr>
        <w:ind w:left="0" w:hanging="0"/>
        <w:rPr/>
      </w:pPr>
      <w:r>
        <w:rPr/>
        <w:t>Caso o licitante não apresente lances, concorrerá com o valor de sua proposta.</w:t>
      </w:r>
    </w:p>
    <w:p>
      <w:pPr>
        <w:pStyle w:val="Nivel2"/>
        <w:numPr>
          <w:ilvl w:val="1"/>
          <w:numId w:val="1"/>
        </w:numPr>
        <w:ind w:left="0" w:hanging="0"/>
        <w:rPr/>
      </w:pPr>
      <w:r>
        <w:rPr/>
        <w:t>Em relação a itens não exclusivos para participação de microempresas e empresas de pequeno porte, uma vez encerrada a etapa de lances</w:t>
      </w:r>
      <w:r>
        <w:rPr>
          <w:rFonts w:eastAsia="Zurich BT"/>
        </w:rPr>
        <w:t xml:space="preserve">, será efetivada a verificação automática, junto à Receita Federal, do porte da entidade empresarial. O sistema identificará em coluna própria as microempresas e empresas de pequeno porte </w:t>
      </w:r>
      <w:r>
        <w:rPr/>
        <w:t>participantes</w:t>
      </w:r>
      <w:r>
        <w:rPr>
          <w:rFonts w:eastAsia="Zurich BT"/>
        </w:rPr>
        <w:t xml:space="preserve">, procedendo à comparação com os valores da primeira colocada, se esta for empresa de maior porte, assim como das demais classificadas, para o fim de aplicar-se o disposto nos </w:t>
      </w:r>
      <w:r>
        <w:fldChar w:fldCharType="begin"/>
      </w:r>
      <w:r>
        <w:rPr>
          <w:rStyle w:val="LinkdaInternet"/>
          <w:rFonts w:eastAsia="Zurich BT"/>
        </w:rPr>
        <w:instrText> HYPERLINK "https://www.planalto.gov.br/ccivil_03/leis/lcp/lcp123.htm" \l "art44"</w:instrText>
      </w:r>
      <w:r>
        <w:rPr>
          <w:rStyle w:val="LinkdaInternet"/>
          <w:rFonts w:eastAsia="Zurich BT"/>
        </w:rPr>
        <w:fldChar w:fldCharType="separate"/>
      </w:r>
      <w:r>
        <w:rPr>
          <w:rStyle w:val="LinkdaInternet"/>
          <w:rFonts w:eastAsia="Zurich BT"/>
        </w:rPr>
        <w:t>arts. 44 e 45 da Lei Complementar nº 123, de 2006</w:t>
      </w:r>
      <w:r>
        <w:rPr>
          <w:rStyle w:val="LinkdaInternet"/>
          <w:rFonts w:eastAsia="Zurich BT"/>
        </w:rPr>
        <w:fldChar w:fldCharType="end"/>
      </w:r>
      <w:r>
        <w:rPr>
          <w:rFonts w:eastAsia="Zurich BT"/>
        </w:rPr>
        <w:t xml:space="preserve">, regulamentada pelo </w:t>
      </w:r>
      <w:hyperlink r:id="rId13">
        <w:r>
          <w:rPr>
            <w:rStyle w:val="LinkdaInternet"/>
            <w:rFonts w:eastAsia="Zurich BT"/>
          </w:rPr>
          <w:t>Decreto nº 8.538, de 2015</w:t>
        </w:r>
      </w:hyperlink>
      <w:r>
        <w:rPr>
          <w:rFonts w:eastAsia="Zurich BT"/>
        </w:rPr>
        <w:t>.</w:t>
      </w:r>
    </w:p>
    <w:p>
      <w:pPr>
        <w:pStyle w:val="Nivel3"/>
        <w:numPr>
          <w:ilvl w:val="2"/>
          <w:numId w:val="1"/>
        </w:numPr>
        <w:ind w:left="284" w:hanging="0"/>
        <w:rPr/>
      </w:pPr>
      <w:r>
        <w:rPr/>
        <w:t xml:space="preserve">Nessas condições, as propostas de </w:t>
      </w:r>
      <w:r>
        <w:rPr>
          <w:rFonts w:eastAsia="Zurich BT"/>
        </w:rPr>
        <w:t xml:space="preserve">microempresas e empresas de pequeno porte </w:t>
      </w:r>
      <w:r>
        <w:rPr/>
        <w:t>que se encontrarem na faixa de até 5% (cinco por cento) acima da melhor proposta ou melhor lance serão consideradas empatadas com a primeira colocada.</w:t>
      </w:r>
    </w:p>
    <w:p>
      <w:pPr>
        <w:pStyle w:val="Nivel3"/>
        <w:numPr>
          <w:ilvl w:val="2"/>
          <w:numId w:val="1"/>
        </w:numPr>
        <w:ind w:left="284" w:hanging="0"/>
        <w:rPr/>
      </w:pPr>
      <w:r>
        <w:rPr/>
        <w:t>A melhor classificada nos termos do subitem anterior terá o direito de encaminhar uma última oferta para desempate, obrigatoriamente em valor inferior ao da primeira colocada, no prazo de 5 (cinco) minutos controlados pelo sistema, contados após a comunicação automática para tanto.</w:t>
      </w:r>
    </w:p>
    <w:p>
      <w:pPr>
        <w:pStyle w:val="Nivel3"/>
        <w:numPr>
          <w:ilvl w:val="2"/>
          <w:numId w:val="1"/>
        </w:numPr>
        <w:ind w:left="284" w:hanging="0"/>
        <w:rPr/>
      </w:pPr>
      <w:r>
        <w:rPr/>
        <w:t xml:space="preserve">Caso a </w:t>
      </w:r>
      <w:r>
        <w:rPr>
          <w:rFonts w:eastAsia="Zurich BT"/>
        </w:rPr>
        <w:t>microempresa ou a empresa de pequeno porte</w:t>
      </w:r>
      <w:r>
        <w:rPr/>
        <w:t xml:space="preserve"> melhor classificada desista ou não se manifeste no prazo estabelecido, serão convocadas as demais licitantes </w:t>
      </w:r>
      <w:r>
        <w:rPr>
          <w:rFonts w:eastAsia="Zurich BT"/>
        </w:rPr>
        <w:t>microempresa e empresa de pequeno porte</w:t>
      </w:r>
      <w:r>
        <w:rPr/>
        <w:t xml:space="preserve"> que se encontrem naquele intervalo de 5% (cinco por cento), na ordem de classificação, para o exercício do mesmo direito, no prazo estabelecido no subitem anterior.</w:t>
      </w:r>
    </w:p>
    <w:p>
      <w:pPr>
        <w:pStyle w:val="Nivel3"/>
        <w:numPr>
          <w:ilvl w:val="2"/>
          <w:numId w:val="1"/>
        </w:numPr>
        <w:ind w:left="284" w:hanging="0"/>
        <w:rPr/>
      </w:pPr>
      <w:r>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pPr>
        <w:pStyle w:val="Nivel2"/>
        <w:numPr>
          <w:ilvl w:val="1"/>
          <w:numId w:val="1"/>
        </w:numPr>
        <w:ind w:left="0" w:hanging="0"/>
        <w:rPr>
          <w:rFonts w:eastAsia="Times New Roman"/>
        </w:rPr>
      </w:pPr>
      <w:r>
        <w:rPr/>
        <w:t xml:space="preserve">Só poderá haver empate entre propostas iguais (não seguidas de lances), ou entre lances finais da fase fechada do modo de disputa </w:t>
      </w:r>
      <w:r>
        <w:rPr>
          <w:b/>
          <w:bCs/>
        </w:rPr>
        <w:t>aberto e fechado</w:t>
      </w:r>
      <w:r>
        <w:rPr/>
        <w:t xml:space="preserve">. </w:t>
      </w:r>
    </w:p>
    <w:p>
      <w:pPr>
        <w:pStyle w:val="Nivel3"/>
        <w:numPr>
          <w:ilvl w:val="2"/>
          <w:numId w:val="1"/>
        </w:numPr>
        <w:ind w:left="284" w:hanging="0"/>
        <w:rPr/>
      </w:pPr>
      <w:r>
        <w:rPr/>
        <w:t xml:space="preserve">Havendo eventual empate entre propostas ou lances, o critério de desempate será aquele previsto no </w:t>
      </w:r>
      <w:r>
        <w:fldChar w:fldCharType="begin"/>
      </w:r>
      <w:r>
        <w:rPr>
          <w:rStyle w:val="LinkdaInternet"/>
          <w:rFonts w:eastAsia="Arial"/>
        </w:rPr>
        <w:instrText> HYPERLINK "http://www.planalto.gov.br/ccivil_03/_ato2019-2022/2021/lei/L14133.htm" \l "art60"</w:instrText>
      </w:r>
      <w:r>
        <w:rPr>
          <w:rStyle w:val="LinkdaInternet"/>
          <w:rFonts w:eastAsia="Arial"/>
        </w:rPr>
        <w:fldChar w:fldCharType="separate"/>
      </w:r>
      <w:r>
        <w:rPr>
          <w:rStyle w:val="LinkdaInternet"/>
          <w:rFonts w:eastAsia="Arial"/>
        </w:rPr>
        <w:t>art</w:t>
      </w:r>
      <w:r>
        <w:rPr>
          <w:rStyle w:val="LinkdaInternet"/>
          <w:rFonts w:eastAsia="Arial"/>
        </w:rPr>
        <w:fldChar w:fldCharType="end"/>
      </w:r>
      <w:r>
        <w:rPr>
          <w:rStyle w:val="LinkdaInternet"/>
        </w:rPr>
        <w:t>. 60 da Lei nº 14.133, de 2021</w:t>
      </w:r>
      <w:r>
        <w:rPr/>
        <w:t>, nesta ordem:</w:t>
      </w:r>
    </w:p>
    <w:p>
      <w:pPr>
        <w:pStyle w:val="Nivel4"/>
        <w:numPr>
          <w:ilvl w:val="3"/>
          <w:numId w:val="1"/>
        </w:numPr>
        <w:ind w:left="567" w:hanging="0"/>
        <w:rPr/>
      </w:pPr>
      <w:r>
        <w:rPr/>
        <w:t>disputa final, hipótese em que os licitantes empatados poderão apresentar nova proposta em ato contínuo à classificação;</w:t>
      </w:r>
    </w:p>
    <w:p>
      <w:pPr>
        <w:pStyle w:val="Nivel4"/>
        <w:numPr>
          <w:ilvl w:val="3"/>
          <w:numId w:val="1"/>
        </w:numPr>
        <w:ind w:left="567" w:hanging="0"/>
        <w:rPr/>
      </w:pPr>
      <w:r>
        <w:rPr/>
        <w:t>avaliação do desempenho contratual prévio dos licitantes, para a qual deverão preferencialmente ser utilizados registros cadastrais para efeito de atesto de cumprimento de obrigações previstos nesta Lei;</w:t>
      </w:r>
    </w:p>
    <w:p>
      <w:pPr>
        <w:pStyle w:val="Nivel4"/>
        <w:numPr>
          <w:ilvl w:val="3"/>
          <w:numId w:val="1"/>
        </w:numPr>
        <w:ind w:left="567" w:hanging="0"/>
        <w:rPr/>
      </w:pPr>
      <w:r>
        <w:rPr/>
        <w:t>desenvolvimento pelo licitante de ações de equidade entre homens e mulheres no ambiente de trabalho, conforme regulamento;</w:t>
      </w:r>
    </w:p>
    <w:p>
      <w:pPr>
        <w:pStyle w:val="Nivel4"/>
        <w:numPr>
          <w:ilvl w:val="3"/>
          <w:numId w:val="1"/>
        </w:numPr>
        <w:ind w:left="567" w:hanging="0"/>
        <w:rPr/>
      </w:pPr>
      <w:r>
        <w:rPr/>
        <w:t>desenvolvimento pelo licitante de programa de integridade, conforme orientações dos órgãos de controle.</w:t>
      </w:r>
    </w:p>
    <w:p>
      <w:pPr>
        <w:pStyle w:val="Nivel3"/>
        <w:numPr>
          <w:ilvl w:val="2"/>
          <w:numId w:val="1"/>
        </w:numPr>
        <w:ind w:left="284" w:hanging="0"/>
        <w:rPr/>
      </w:pPr>
      <w:r>
        <w:rPr/>
        <w:t>Persistindo o empate, será assegurada preferência, sucessivamente, aos bens e serviços produzidos ou prestados por:</w:t>
      </w:r>
    </w:p>
    <w:p>
      <w:pPr>
        <w:pStyle w:val="Nivel4"/>
        <w:numPr>
          <w:ilvl w:val="3"/>
          <w:numId w:val="1"/>
        </w:numPr>
        <w:ind w:left="567" w:hanging="0"/>
        <w:rPr/>
      </w:pPr>
      <w:bookmarkStart w:id="35" w:name="art60§1i"/>
      <w:bookmarkEnd w:id="35"/>
      <w:r>
        <w:rPr/>
        <w:t>empresas estabelecidas no território do Estado ou do Distrito Federal do órgão ou entidade da Administração Pública estadual ou distrital licitante ou, no caso de licitação realizada por órgão ou entidade de Município, no território do Estado em que este se localize;</w:t>
      </w:r>
    </w:p>
    <w:p>
      <w:pPr>
        <w:pStyle w:val="Nivel4"/>
        <w:numPr>
          <w:ilvl w:val="3"/>
          <w:numId w:val="1"/>
        </w:numPr>
        <w:ind w:left="567" w:hanging="0"/>
        <w:rPr/>
      </w:pPr>
      <w:bookmarkStart w:id="36" w:name="art60§1ii"/>
      <w:bookmarkEnd w:id="36"/>
      <w:r>
        <w:rPr/>
        <w:t>empresas brasileiras;</w:t>
      </w:r>
    </w:p>
    <w:p>
      <w:pPr>
        <w:pStyle w:val="Nivel4"/>
        <w:numPr>
          <w:ilvl w:val="3"/>
          <w:numId w:val="1"/>
        </w:numPr>
        <w:ind w:left="567" w:hanging="0"/>
        <w:rPr/>
      </w:pPr>
      <w:bookmarkStart w:id="37" w:name="art60§1iii"/>
      <w:bookmarkEnd w:id="37"/>
      <w:r>
        <w:rPr/>
        <w:t>empresas que invistam em pesquisa e no desenvolvimento de tecnologia no País;</w:t>
      </w:r>
    </w:p>
    <w:p>
      <w:pPr>
        <w:pStyle w:val="Nivel4"/>
        <w:numPr>
          <w:ilvl w:val="3"/>
          <w:numId w:val="1"/>
        </w:numPr>
        <w:ind w:left="567" w:hanging="0"/>
        <w:rPr/>
      </w:pPr>
      <w:bookmarkStart w:id="38" w:name="art60§1iv"/>
      <w:bookmarkEnd w:id="38"/>
      <w:r>
        <w:rPr/>
        <w:t>empresas que comprovem a prática de mitigação, nos termos da </w:t>
      </w:r>
      <w:r>
        <w:fldChar w:fldCharType="begin"/>
      </w:r>
      <w:r>
        <w:rPr>
          <w:rStyle w:val="LinkdaInternet"/>
        </w:rPr>
        <w:instrText> HYPERLINK "https://www.planalto.gov.br/ccivil_03/_ato2007-2010/2009/lei/l12187.htm" \l ":~:text=LEI Nº 12.187%2C DE 29 DE DEZEMBRO DE 2009.&amp;text=Institui a Política Nacional sobre,PNMC e dá outras providências."</w:instrText>
      </w:r>
      <w:r>
        <w:rPr>
          <w:rStyle w:val="LinkdaInternet"/>
        </w:rPr>
        <w:fldChar w:fldCharType="separate"/>
      </w:r>
      <w:r>
        <w:rPr>
          <w:rStyle w:val="LinkdaInternet"/>
        </w:rPr>
        <w:t>Lei nº 12.187, de 29 de dezembro de 2009</w:t>
      </w:r>
      <w:r>
        <w:rPr>
          <w:rStyle w:val="LinkdaInternet"/>
        </w:rPr>
        <w:fldChar w:fldCharType="end"/>
      </w:r>
      <w:r>
        <w:rPr/>
        <w:t>.</w:t>
      </w:r>
    </w:p>
    <w:p>
      <w:pPr>
        <w:pStyle w:val="Nivel2"/>
        <w:numPr>
          <w:ilvl w:val="1"/>
          <w:numId w:val="1"/>
        </w:numPr>
        <w:ind w:left="0" w:hanging="0"/>
        <w:rPr/>
      </w:pPr>
      <w:r>
        <w:rPr/>
        <w:t>Encerrada a etapa de envio de lances da sessão pública, na hipótese da proposta do primeiro colocado permanecer acima do preço máximo ou inferior ao desconto definido para a contratação, o pregoeiro poderá negociar condições mais vantajosas, após definido o resultado do julgamento.</w:t>
      </w:r>
    </w:p>
    <w:p>
      <w:pPr>
        <w:pStyle w:val="Nvel3R"/>
        <w:numPr>
          <w:ilvl w:val="2"/>
          <w:numId w:val="1"/>
        </w:numPr>
        <w:ind w:left="284" w:hanging="0"/>
        <w:rPr/>
      </w:pPr>
      <w:r>
        <w:rPr>
          <w:i w:val="false"/>
          <w:iCs w:val="false"/>
          <w:strike/>
          <w:shd w:fill="FFFFFF" w:val="clear"/>
        </w:rPr>
        <w:t>Tratando-se de licitação em grupo, a contratação posterior de item específico do grupo exigirá prévia pesquisa de mercado e demonstração de sua vantagem para o órgão ou a entidade e serão observados os seguintes preços unitários máximos como critério de aceitabilidade:</w:t>
      </w:r>
    </w:p>
    <w:p>
      <w:pPr>
        <w:pStyle w:val="Nivel3"/>
        <w:numPr>
          <w:ilvl w:val="2"/>
          <w:numId w:val="1"/>
        </w:numPr>
        <w:ind w:left="284" w:hanging="0"/>
        <w:rPr/>
      </w:pPr>
      <w:r>
        <w:rPr/>
        <w:t>A negociação poderá ser feita com os demais licitantes, segundo a ordem de classificação inicialmente estabelecida, quando o primeiro colocado, mesmo após a negociação, for desclassificado em razão de sua proposta permanecer acima do preço máximo definido pela Administração.</w:t>
      </w:r>
    </w:p>
    <w:p>
      <w:pPr>
        <w:pStyle w:val="Nivel3"/>
        <w:numPr>
          <w:ilvl w:val="2"/>
          <w:numId w:val="1"/>
        </w:numPr>
        <w:ind w:left="284" w:hanging="0"/>
        <w:rPr>
          <w:rFonts w:eastAsia="Times New Roman"/>
        </w:rPr>
      </w:pPr>
      <w:r>
        <w:rPr>
          <w:rFonts w:eastAsia="Times New Roman"/>
        </w:rPr>
        <w:t xml:space="preserve">A </w:t>
      </w:r>
      <w:r>
        <w:rPr/>
        <w:t>negociação será realizada por meio do sistema, podendo ser acompanhada pelos demais licitantes.</w:t>
      </w:r>
    </w:p>
    <w:p>
      <w:pPr>
        <w:pStyle w:val="Nivel3"/>
        <w:numPr>
          <w:ilvl w:val="2"/>
          <w:numId w:val="1"/>
        </w:numPr>
        <w:ind w:left="284" w:hanging="0"/>
        <w:rPr/>
      </w:pPr>
      <w:r>
        <w:rPr/>
        <w:t>O resultado da negociação será divulgado a todos os licitantes e anexado aos autos do processo licitatório.</w:t>
      </w:r>
    </w:p>
    <w:p>
      <w:pPr>
        <w:pStyle w:val="Nivel3"/>
        <w:numPr>
          <w:ilvl w:val="2"/>
          <w:numId w:val="1"/>
        </w:numPr>
        <w:ind w:left="284" w:hanging="0"/>
        <w:rPr>
          <w:szCs w:val="24"/>
        </w:rPr>
      </w:pPr>
      <w:r>
        <w:rPr/>
        <w:t xml:space="preserve">O pregoeiro solicitará ao licitante mais bem classificado que, no prazo de </w:t>
      </w:r>
      <w:r>
        <w:rPr>
          <w:b/>
          <w:bCs/>
          <w:color w:val="000000"/>
        </w:rPr>
        <w:t>2 (duas) horas</w:t>
      </w:r>
      <w:r>
        <w:rPr/>
        <w:t>, envie a proposta adequada ao último lance ofertado após a negociação realizada, acompanhada, se for o caso, dos documentos complementares, quando necessários à confirmação daqueles exigidos neste Edital e já apresentados.</w:t>
      </w:r>
      <w:bookmarkStart w:id="39" w:name="_Hlk117016948"/>
      <w:bookmarkEnd w:id="39"/>
    </w:p>
    <w:p>
      <w:pPr>
        <w:pStyle w:val="Nivel3"/>
        <w:numPr>
          <w:ilvl w:val="2"/>
          <w:numId w:val="1"/>
        </w:numPr>
        <w:ind w:left="284" w:hanging="0"/>
        <w:rPr>
          <w:iCs/>
        </w:rPr>
      </w:pPr>
      <w:r>
        <w:rPr/>
        <w:t>É facultado ao pregoeiro prorrogar o prazo estabelecido, a partir de solicitação fundamentada feita no chat pelo licitante, antes de findo o prazo.</w:t>
      </w:r>
    </w:p>
    <w:p>
      <w:pPr>
        <w:pStyle w:val="Nivel2"/>
        <w:numPr>
          <w:ilvl w:val="1"/>
          <w:numId w:val="1"/>
        </w:numPr>
        <w:ind w:left="0" w:hanging="0"/>
        <w:rPr>
          <w:rFonts w:eastAsia="Times New Roman"/>
        </w:rPr>
      </w:pPr>
      <w:bookmarkStart w:id="40" w:name="_Hlk114646655"/>
      <w:r>
        <w:rPr/>
        <w:t>Após a negociação do preço, o Pregoeiro iniciará a fase de aceitação e julgamento da proposta.</w:t>
      </w:r>
      <w:bookmarkEnd w:id="40"/>
    </w:p>
    <w:p>
      <w:pPr>
        <w:pStyle w:val="Nivel01"/>
        <w:numPr>
          <w:ilvl w:val="0"/>
          <w:numId w:val="1"/>
        </w:numPr>
        <w:rPr/>
      </w:pPr>
      <w:bookmarkStart w:id="41" w:name="_Toc135469229"/>
      <w:r>
        <w:rPr/>
        <w:t>DA FASE DE JULGAMENTO</w:t>
      </w:r>
      <w:bookmarkEnd w:id="41"/>
    </w:p>
    <w:p>
      <w:pPr>
        <w:pStyle w:val="Nivel2"/>
        <w:numPr>
          <w:ilvl w:val="1"/>
          <w:numId w:val="1"/>
        </w:numPr>
        <w:ind w:left="0" w:hanging="0"/>
        <w:rPr>
          <w:b/>
          <w:b/>
          <w:bCs/>
          <w:lang w:eastAsia="ar-SA"/>
        </w:rPr>
      </w:pPr>
      <w:bookmarkStart w:id="42" w:name="_Ref117019424"/>
      <w:r>
        <w:rPr/>
        <w:t xml:space="preserve">Encerrada a etapa de negociação, o pregoeiro verificará se o licitante provisoriamente classificado em primeiro lugar atende às condições de participação no certame, conforme previsto no </w:t>
      </w:r>
      <w:r>
        <w:fldChar w:fldCharType="begin"/>
      </w:r>
      <w:r>
        <w:rPr>
          <w:rStyle w:val="LinkdaInternet"/>
        </w:rPr>
        <w:instrText> HYPERLINK "http://www.planalto.gov.br/ccivil_03/_ato2019-2022/2021/lei/L14133.htm" \l "art14"</w:instrText>
      </w:r>
      <w:r>
        <w:rPr>
          <w:rStyle w:val="LinkdaInternet"/>
        </w:rPr>
        <w:fldChar w:fldCharType="separate"/>
      </w:r>
      <w:r>
        <w:rPr>
          <w:rStyle w:val="LinkdaInternet"/>
        </w:rPr>
        <w:t>art. 14 da Lei nº 14.133/2021</w:t>
      </w:r>
      <w:r>
        <w:rPr>
          <w:rStyle w:val="LinkdaInternet"/>
        </w:rPr>
        <w:fldChar w:fldCharType="end"/>
      </w:r>
      <w:r>
        <w:rPr/>
        <w:t xml:space="preserve">, legislação correlata e no item </w:t>
      </w:r>
      <w:r>
        <w:rPr/>
        <w:fldChar w:fldCharType="begin"/>
      </w:r>
      <w:r>
        <w:rPr/>
        <w:instrText> REF _Ref117000692 \r \h </w:instrText>
      </w:r>
      <w:r>
        <w:rPr/>
        <w:fldChar w:fldCharType="separate"/>
      </w:r>
      <w:r>
        <w:rPr/>
        <w:t>3.7.</w:t>
      </w:r>
      <w:r>
        <w:rPr/>
        <w:fldChar w:fldCharType="end"/>
      </w:r>
      <w:r>
        <w:rPr/>
        <w:t xml:space="preserve"> do edital, </w:t>
      </w:r>
      <w:bookmarkEnd w:id="42"/>
      <w:r>
        <w:rPr>
          <w:color w:val="auto"/>
          <w:lang w:eastAsia="ar-SA"/>
        </w:rPr>
        <w:t>especialmente quanto à existência de sanção que impeça a participação no certame ou a futura contratação,</w:t>
      </w:r>
      <w:r>
        <w:rPr>
          <w:lang w:eastAsia="ar-SA"/>
        </w:rPr>
        <w:t xml:space="preserve"> mediante a consulta aos seguintes cadastros:</w:t>
      </w:r>
    </w:p>
    <w:p>
      <w:pPr>
        <w:pStyle w:val="Nivel3"/>
        <w:numPr>
          <w:ilvl w:val="2"/>
          <w:numId w:val="1"/>
        </w:numPr>
        <w:ind w:left="284" w:hanging="0"/>
        <w:rPr>
          <w:lang w:eastAsia="ar-SA"/>
        </w:rPr>
      </w:pPr>
      <w:r>
        <w:rPr>
          <w:lang w:eastAsia="ar-SA"/>
        </w:rPr>
        <w:t xml:space="preserve">SICAF;  </w:t>
      </w:r>
    </w:p>
    <w:p>
      <w:pPr>
        <w:pStyle w:val="Nivel3"/>
        <w:numPr>
          <w:ilvl w:val="2"/>
          <w:numId w:val="1"/>
        </w:numPr>
        <w:ind w:left="284" w:hanging="0"/>
        <w:rPr>
          <w:lang w:eastAsia="ar-SA"/>
        </w:rPr>
      </w:pPr>
      <w:r>
        <w:rPr>
          <w:lang w:eastAsia="ar-SA"/>
        </w:rPr>
        <w:t>Cadastro Nacional de Empresas Inidôneas e Suspensas - CEIS, mantido pela Controladoria-Geral da União (</w:t>
      </w:r>
      <w:hyperlink r:id="rId14">
        <w:r>
          <w:rPr>
            <w:rStyle w:val="LinkdaInternet"/>
            <w:lang w:eastAsia="ar-SA"/>
          </w:rPr>
          <w:t>https://www.portaltransparencia.gov.br/sancoes/ceis</w:t>
        </w:r>
      </w:hyperlink>
      <w:r>
        <w:rPr>
          <w:lang w:eastAsia="ar-SA"/>
        </w:rPr>
        <w:t xml:space="preserve">); e </w:t>
      </w:r>
    </w:p>
    <w:p>
      <w:pPr>
        <w:pStyle w:val="Nivel3"/>
        <w:numPr>
          <w:ilvl w:val="2"/>
          <w:numId w:val="1"/>
        </w:numPr>
        <w:ind w:left="284" w:hanging="0"/>
        <w:rPr>
          <w:lang w:eastAsia="ar-SA"/>
        </w:rPr>
      </w:pPr>
      <w:r>
        <w:rPr>
          <w:lang w:eastAsia="ar-SA"/>
        </w:rPr>
        <w:t>Cadastro Nacional de Empresas Punidas – CNEP, mantido pela Controladoria-Geral da União (</w:t>
      </w:r>
      <w:hyperlink r:id="rId15">
        <w:r>
          <w:rPr>
            <w:rStyle w:val="LinkdaInternet"/>
            <w:lang w:eastAsia="ar-SA"/>
          </w:rPr>
          <w:t>https://www.portaltransparencia.gov.br/sancoes/cnep</w:t>
        </w:r>
      </w:hyperlink>
      <w:r>
        <w:rPr>
          <w:lang w:eastAsia="ar-SA"/>
        </w:rPr>
        <w:t>).</w:t>
      </w:r>
    </w:p>
    <w:p>
      <w:pPr>
        <w:pStyle w:val="Nivel2"/>
        <w:numPr>
          <w:ilvl w:val="1"/>
          <w:numId w:val="1"/>
        </w:numPr>
        <w:ind w:left="0" w:hanging="0"/>
        <w:rPr/>
      </w:pPr>
      <w:r>
        <w:rPr/>
        <w:t xml:space="preserve">A consulta aos cadastros será realizada em nome da empresa licitante e também de seu sócio majoritário, por força da vedação de que trata o </w:t>
      </w:r>
      <w:r>
        <w:fldChar w:fldCharType="begin"/>
      </w:r>
      <w:r>
        <w:rPr>
          <w:rStyle w:val="LinkdaInternet"/>
        </w:rPr>
        <w:instrText> HYPERLINK "https://www.planalto.gov.br/ccivil_03/leis/l8429.htm" \l ":~:text=às seguintes cominações%3A-,Art.,nº 12.120%2C de 2009)."</w:instrText>
      </w:r>
      <w:r>
        <w:rPr>
          <w:rStyle w:val="LinkdaInternet"/>
        </w:rPr>
        <w:fldChar w:fldCharType="separate"/>
      </w:r>
      <w:r>
        <w:rPr>
          <w:rStyle w:val="LinkdaInternet"/>
        </w:rPr>
        <w:t>artigo 12 da Lei n° 8.429, de 1992</w:t>
      </w:r>
      <w:r>
        <w:rPr>
          <w:rStyle w:val="LinkdaInternet"/>
        </w:rPr>
        <w:fldChar w:fldCharType="end"/>
      </w:r>
      <w:r>
        <w:rPr/>
        <w:t>.</w:t>
      </w:r>
    </w:p>
    <w:p>
      <w:pPr>
        <w:pStyle w:val="Nivel2"/>
        <w:numPr>
          <w:ilvl w:val="1"/>
          <w:numId w:val="1"/>
        </w:numPr>
        <w:ind w:left="0" w:hanging="0"/>
        <w:rPr/>
      </w:pPr>
      <w:r>
        <w:rPr/>
        <w:t>Caso conste na Consulta de Situação do l</w:t>
      </w:r>
      <w:r>
        <w:rPr>
          <w:color w:val="auto"/>
        </w:rPr>
        <w:t xml:space="preserve">icitante </w:t>
      </w:r>
      <w:r>
        <w:rPr/>
        <w:t xml:space="preserve">a existência de Ocorrências Impeditivas Indiretas, o </w:t>
      </w:r>
      <w:r>
        <w:rPr>
          <w:color w:val="auto"/>
        </w:rPr>
        <w:t>Pregoeiro diligenciará para v</w:t>
      </w:r>
      <w:r>
        <w:rPr/>
        <w:t>erificar se houve fraude por parte das empresas apontadas no Relatório de Ocorrências Impeditivas Indiretas. (</w:t>
      </w:r>
      <w:r>
        <w:fldChar w:fldCharType="begin"/>
      </w:r>
      <w:r>
        <w:rPr>
          <w:rStyle w:val="LinkdaInternet"/>
        </w:rPr>
        <w:instrText> HYPERLINK "https://www.gov.br/compras/pt-br/acesso-a-informacao/legislacao/instrucoes-normativas/instrucao-normativa-no-3-de-26-de-abril-de-2018" \l "art29"</w:instrText>
      </w:r>
      <w:r>
        <w:rPr>
          <w:rStyle w:val="LinkdaInternet"/>
        </w:rPr>
        <w:fldChar w:fldCharType="separate"/>
      </w:r>
      <w:r>
        <w:rPr>
          <w:rStyle w:val="LinkdaInternet"/>
        </w:rPr>
        <w:t xml:space="preserve">IN nº 3/2018, art. 29, </w:t>
      </w:r>
      <w:r>
        <w:rPr>
          <w:rStyle w:val="LinkdaInternet"/>
        </w:rPr>
        <w:fldChar w:fldCharType="end"/>
      </w:r>
      <w:r>
        <w:rPr>
          <w:rStyle w:val="LinkdaInternet"/>
          <w:i/>
          <w:iCs/>
        </w:rPr>
        <w:t>caput</w:t>
      </w:r>
      <w:r>
        <w:rPr/>
        <w:t>)</w:t>
      </w:r>
    </w:p>
    <w:p>
      <w:pPr>
        <w:pStyle w:val="Nivel3"/>
        <w:numPr>
          <w:ilvl w:val="2"/>
          <w:numId w:val="1"/>
        </w:numPr>
        <w:ind w:left="284" w:hanging="0"/>
        <w:rPr/>
      </w:pPr>
      <w:r>
        <w:rPr/>
        <w:t>A tentativa de burla será verificada por meio dos vínculos societários, linhas de fornecimento similares, dentre outros. (</w:t>
      </w:r>
      <w:hyperlink r:id="rId16">
        <w:r>
          <w:rPr>
            <w:rStyle w:val="LinkdaInternet"/>
          </w:rPr>
          <w:t>IN nº 3/2018, art. 29, §1º</w:t>
        </w:r>
      </w:hyperlink>
      <w:r>
        <w:rPr/>
        <w:t>).</w:t>
      </w:r>
    </w:p>
    <w:p>
      <w:pPr>
        <w:pStyle w:val="Nivel3"/>
        <w:numPr>
          <w:ilvl w:val="2"/>
          <w:numId w:val="1"/>
        </w:numPr>
        <w:ind w:left="284" w:hanging="0"/>
        <w:rPr/>
      </w:pPr>
      <w:r>
        <w:rPr/>
        <w:t>O licitante será convocado para manifestação previamente a uma eventual desclassificação. (</w:t>
      </w:r>
      <w:hyperlink r:id="rId17">
        <w:r>
          <w:rPr>
            <w:rStyle w:val="LinkdaInternet"/>
          </w:rPr>
          <w:t>IN nº 3/2018, art. 29, §2º</w:t>
        </w:r>
      </w:hyperlink>
      <w:r>
        <w:rPr/>
        <w:t>).</w:t>
      </w:r>
    </w:p>
    <w:p>
      <w:pPr>
        <w:pStyle w:val="Nivel3"/>
        <w:numPr>
          <w:ilvl w:val="2"/>
          <w:numId w:val="1"/>
        </w:numPr>
        <w:ind w:left="284" w:hanging="0"/>
        <w:rPr/>
      </w:pPr>
      <w:r>
        <w:rPr/>
        <w:t>Constatada a existência de sanção, o licitante será reputado inabilitado, por falta de condição de participação.</w:t>
      </w:r>
    </w:p>
    <w:p>
      <w:pPr>
        <w:pStyle w:val="Nivel2"/>
        <w:numPr>
          <w:ilvl w:val="1"/>
          <w:numId w:val="1"/>
        </w:numPr>
        <w:ind w:left="0" w:hanging="0"/>
        <w:rPr>
          <w:shd w:fill="FFFFFF" w:val="clear"/>
        </w:rPr>
      </w:pPr>
      <w:r>
        <w:rPr>
          <w:shd w:fill="FFFFFF" w:val="clear"/>
        </w:rPr>
        <w:t>Na hipótese de inversão das fases de habilitação e julgamento, caso atendidas as condições de participação, será iniciado o procedimento de habilitação.</w:t>
      </w:r>
      <w:bookmarkStart w:id="43" w:name="_Hlk135317550"/>
      <w:bookmarkEnd w:id="43"/>
    </w:p>
    <w:p>
      <w:pPr>
        <w:pStyle w:val="Nivel2"/>
        <w:numPr>
          <w:ilvl w:val="1"/>
          <w:numId w:val="1"/>
        </w:numPr>
        <w:ind w:left="0" w:hanging="0"/>
        <w:rPr/>
      </w:pPr>
      <w:r>
        <w:rPr/>
        <w:t xml:space="preserve">Caso o licitante provisoriamente classificado em primeiro lugar tenha se utilizado de algum tratamento favorecido às ME/EPPs, o pregoeiro verificará se faz jus ao benefício, em conformidade com os itens </w:t>
      </w:r>
      <w:r>
        <w:rPr/>
        <w:fldChar w:fldCharType="begin"/>
      </w:r>
      <w:r>
        <w:rPr/>
        <w:instrText> REF _Ref117015508 \r \h </w:instrText>
      </w:r>
      <w:r>
        <w:rPr/>
        <w:fldChar w:fldCharType="separate"/>
      </w:r>
      <w:r>
        <w:rPr/>
        <w:t>3.5.1.</w:t>
      </w:r>
      <w:r>
        <w:rPr/>
        <w:fldChar w:fldCharType="end"/>
      </w:r>
      <w:r>
        <w:rPr/>
        <w:t xml:space="preserve"> e </w:t>
      </w:r>
      <w:r>
        <w:rPr/>
        <w:fldChar w:fldCharType="begin"/>
      </w:r>
      <w:r>
        <w:rPr/>
        <w:instrText> REF _Ref117000019 \r \h </w:instrText>
      </w:r>
      <w:r>
        <w:rPr/>
        <w:fldChar w:fldCharType="separate"/>
      </w:r>
      <w:r>
        <w:rPr/>
        <w:t>4.6.</w:t>
      </w:r>
      <w:r>
        <w:rPr/>
        <w:fldChar w:fldCharType="end"/>
      </w:r>
      <w:r>
        <w:rPr/>
        <w:t xml:space="preserve"> deste edital.</w:t>
      </w:r>
    </w:p>
    <w:p>
      <w:pPr>
        <w:pStyle w:val="Nivel2"/>
        <w:numPr>
          <w:ilvl w:val="1"/>
          <w:numId w:val="1"/>
        </w:numPr>
        <w:ind w:left="0" w:hanging="0"/>
        <w:rPr>
          <w:b/>
          <w:b/>
        </w:rPr>
      </w:pPr>
      <w:r>
        <w:rPr/>
        <w:t xml:space="preserve">Verificadas as condições de participação e de utilização do tratamento favorecido, o pregoeiro examinará a proposta classificada em primeiro lugar quanto à adequação ao objeto e à compatibilidade do preço em relação ao máximo estipulado para contratação neste Edital e em seus anexos, observado o disposto no </w:t>
      </w:r>
      <w:r>
        <w:fldChar w:fldCharType="begin"/>
      </w:r>
      <w:r>
        <w:rPr>
          <w:rStyle w:val="LinkdaInternet"/>
        </w:rPr>
        <w:instrText> HYPERLINK "https://www.gov.br/compras/pt-br/acesso-a-informacao/legislacao/instrucoes-normativas/instrucao-normativa-seges-me-no-73-de-30-de-setembro-de-2022" \l "art29"</w:instrText>
      </w:r>
      <w:r>
        <w:rPr>
          <w:rStyle w:val="LinkdaInternet"/>
        </w:rPr>
        <w:fldChar w:fldCharType="separate"/>
      </w:r>
      <w:r>
        <w:rPr>
          <w:rStyle w:val="LinkdaInternet"/>
        </w:rPr>
        <w:t>artigo 29 a 35 da IN SEGES nº 73, de 30 de setembro de 2022</w:t>
      </w:r>
      <w:r>
        <w:rPr>
          <w:rStyle w:val="LinkdaInternet"/>
        </w:rPr>
        <w:fldChar w:fldCharType="end"/>
      </w:r>
      <w:r>
        <w:rPr/>
        <w:t>.</w:t>
      </w:r>
    </w:p>
    <w:p>
      <w:pPr>
        <w:pStyle w:val="Nivel2"/>
        <w:numPr>
          <w:ilvl w:val="1"/>
          <w:numId w:val="1"/>
        </w:numPr>
        <w:ind w:left="0" w:hanging="0"/>
        <w:rPr>
          <w:strike/>
          <w:shd w:fill="FFFFFF" w:val="clear"/>
        </w:rPr>
      </w:pPr>
      <w:r>
        <w:rPr>
          <w:strike/>
          <w:shd w:fill="FFFFFF" w:val="clear"/>
        </w:rPr>
        <w:t>Em se tratando de serviços com fornecimento de mão de obra em regime de dedicação exclusiva, a fim de assegurar o tratamento isonômico entre as licitantes, informa-se que foram utilizados os seguintes acordos, dissídios ou convenções coletivas de trabalho no cálculo do valor estimado pela Administração:</w:t>
      </w:r>
    </w:p>
    <w:p>
      <w:pPr>
        <w:pStyle w:val="Nivel3"/>
        <w:numPr>
          <w:ilvl w:val="2"/>
          <w:numId w:val="1"/>
        </w:numPr>
        <w:ind w:left="284" w:hanging="0"/>
        <w:rPr>
          <w:strike/>
          <w:shd w:fill="FFFFFF" w:val="clear"/>
        </w:rPr>
      </w:pPr>
      <w:r>
        <w:rPr>
          <w:strike/>
          <w:shd w:fill="FFFFFF" w:val="clear"/>
        </w:rPr>
        <w:t xml:space="preserve"> </w:t>
      </w:r>
      <w:r>
        <w:rPr>
          <w:strike/>
          <w:shd w:fill="FFFFFF" w:val="clear"/>
        </w:rPr>
        <w:t>[indicar os acordos, dissídios ou convenções coletivas];</w:t>
      </w:r>
    </w:p>
    <w:p>
      <w:pPr>
        <w:pStyle w:val="Nivel3"/>
        <w:numPr>
          <w:ilvl w:val="2"/>
          <w:numId w:val="1"/>
        </w:numPr>
        <w:ind w:left="284" w:hanging="0"/>
        <w:rPr>
          <w:strike/>
          <w:shd w:fill="FFFFFF" w:val="clear"/>
        </w:rPr>
      </w:pPr>
      <w:r>
        <w:rPr>
          <w:strike/>
          <w:shd w:fill="FFFFFF" w:val="clear"/>
        </w:rPr>
        <w:t xml:space="preserve"> </w:t>
      </w:r>
      <w:r>
        <w:rPr>
          <w:strike/>
          <w:shd w:fill="FFFFFF" w:val="clear"/>
        </w:rPr>
        <w:t>O(s) sindicato(s) indicado(s) no subitem acima não é (são) de utilização obrigatória pelos licitantes, mas, ao longo da execução contratual, sempre se exigirá o cumprimento dos acordos, dissídios ou convenções coletivas adotados por cada licitante/contratado.</w:t>
      </w:r>
    </w:p>
    <w:p>
      <w:pPr>
        <w:pStyle w:val="Nivel2"/>
        <w:numPr>
          <w:ilvl w:val="1"/>
          <w:numId w:val="1"/>
        </w:numPr>
        <w:ind w:left="0" w:hanging="0"/>
        <w:rPr>
          <w:b/>
          <w:b/>
        </w:rPr>
      </w:pPr>
      <w:r>
        <w:rPr/>
        <w:t xml:space="preserve">Será desclassificada a proposta vencedora que: </w:t>
      </w:r>
    </w:p>
    <w:p>
      <w:pPr>
        <w:pStyle w:val="Nivel3"/>
        <w:numPr>
          <w:ilvl w:val="2"/>
          <w:numId w:val="1"/>
        </w:numPr>
        <w:ind w:left="284" w:hanging="0"/>
        <w:rPr/>
      </w:pPr>
      <w:r>
        <w:rPr/>
        <w:t>contiver vícios insanáveis;</w:t>
      </w:r>
    </w:p>
    <w:p>
      <w:pPr>
        <w:pStyle w:val="Nivel3"/>
        <w:numPr>
          <w:ilvl w:val="2"/>
          <w:numId w:val="1"/>
        </w:numPr>
        <w:ind w:left="284" w:hanging="0"/>
        <w:rPr/>
      </w:pPr>
      <w:r>
        <w:rPr/>
        <w:t>não obedecer às especificações técnicas contidas no Termo de Referência;</w:t>
      </w:r>
    </w:p>
    <w:p>
      <w:pPr>
        <w:pStyle w:val="Nivel3"/>
        <w:numPr>
          <w:ilvl w:val="2"/>
          <w:numId w:val="1"/>
        </w:numPr>
        <w:ind w:left="284" w:hanging="0"/>
        <w:rPr/>
      </w:pPr>
      <w:r>
        <w:rPr/>
        <w:t>apresentar preços inexequíveis ou permanecerem acima do preço máximo definido para a contratação;</w:t>
      </w:r>
    </w:p>
    <w:p>
      <w:pPr>
        <w:pStyle w:val="Nivel3"/>
        <w:numPr>
          <w:ilvl w:val="2"/>
          <w:numId w:val="1"/>
        </w:numPr>
        <w:ind w:left="284" w:hanging="0"/>
        <w:rPr/>
      </w:pPr>
      <w:r>
        <w:rPr/>
        <w:t>não tiverem sua exequibilidade demonstrada, quando exigido pela Administração;</w:t>
      </w:r>
    </w:p>
    <w:p>
      <w:pPr>
        <w:pStyle w:val="Nivel3"/>
        <w:numPr>
          <w:ilvl w:val="2"/>
          <w:numId w:val="1"/>
        </w:numPr>
        <w:ind w:left="284" w:hanging="0"/>
        <w:rPr/>
      </w:pPr>
      <w:r>
        <w:rPr/>
        <w:t>apresentar desconformidade com quaisquer outras exigências deste Edital ou seus anexos, desde que insanável.</w:t>
      </w:r>
    </w:p>
    <w:p>
      <w:pPr>
        <w:pStyle w:val="Nivel2"/>
        <w:numPr>
          <w:ilvl w:val="1"/>
          <w:numId w:val="1"/>
        </w:numPr>
        <w:ind w:left="0" w:hanging="0"/>
        <w:rPr>
          <w:b/>
          <w:b/>
          <w:bCs/>
        </w:rPr>
      </w:pPr>
      <w:r>
        <w:rPr/>
        <w:t>No caso de bens e serviços em geral, é indício de inexequibilidade das propostas valores inferiores a 50% (cinquenta por cento) do valor orçado pela Administração.</w:t>
      </w:r>
    </w:p>
    <w:p>
      <w:pPr>
        <w:pStyle w:val="Nivel3"/>
        <w:numPr>
          <w:ilvl w:val="2"/>
          <w:numId w:val="1"/>
        </w:numPr>
        <w:ind w:left="284" w:hanging="0"/>
        <w:rPr/>
      </w:pPr>
      <w:r>
        <w:rPr/>
        <w:t xml:space="preserve">A inexequibilidade, na hipótese de que trata o </w:t>
      </w:r>
      <w:r>
        <w:rPr>
          <w:b/>
          <w:bCs/>
        </w:rPr>
        <w:t>caput</w:t>
      </w:r>
      <w:r>
        <w:rPr/>
        <w:t>, só será considerada após diligência do pregoeiro, que comprove:</w:t>
      </w:r>
    </w:p>
    <w:p>
      <w:pPr>
        <w:pStyle w:val="Nivel4"/>
        <w:numPr>
          <w:ilvl w:val="3"/>
          <w:numId w:val="1"/>
        </w:numPr>
        <w:ind w:left="567" w:hanging="0"/>
        <w:rPr/>
      </w:pPr>
      <w:r>
        <w:rPr/>
        <w:t>que o custo do licitante ultrapassa o valor da proposta; e</w:t>
      </w:r>
    </w:p>
    <w:p>
      <w:pPr>
        <w:pStyle w:val="Nivel4"/>
        <w:numPr>
          <w:ilvl w:val="3"/>
          <w:numId w:val="1"/>
        </w:numPr>
        <w:ind w:left="567" w:hanging="0"/>
        <w:rPr/>
      </w:pPr>
      <w:r>
        <w:rPr/>
        <w:t>inexistirem custos de oportunidade capazes de justificar o vulto da oferta.</w:t>
      </w:r>
    </w:p>
    <w:p>
      <w:pPr>
        <w:pStyle w:val="Nivel2"/>
        <w:numPr>
          <w:ilvl w:val="1"/>
          <w:numId w:val="1"/>
        </w:numPr>
        <w:ind w:left="0" w:hanging="0"/>
        <w:rPr>
          <w:b/>
          <w:b/>
          <w:bCs/>
        </w:rPr>
      </w:pPr>
      <w:r>
        <w:rPr/>
        <w:t>Em contratação de serviços de engenharia, além das disposições acima, a análise de exequibilidade e sobrepreço considerará o seguinte:</w:t>
      </w:r>
    </w:p>
    <w:p>
      <w:pPr>
        <w:pStyle w:val="Nivel3"/>
        <w:numPr>
          <w:ilvl w:val="2"/>
          <w:numId w:val="1"/>
        </w:numPr>
        <w:ind w:left="284" w:hanging="0"/>
        <w:rPr>
          <w:b/>
          <w:b/>
        </w:rPr>
      </w:pPr>
      <w:r>
        <w:rPr/>
        <w:t>Nos regimes de execução por tarefa, empreitada por preço global ou empreitada integral, semi-integrada ou integrada, a caracterização do sobrepreço se dará pela superação do valor global estimado;</w:t>
      </w:r>
    </w:p>
    <w:p>
      <w:pPr>
        <w:pStyle w:val="Nivel3"/>
        <w:numPr>
          <w:ilvl w:val="2"/>
          <w:numId w:val="1"/>
        </w:numPr>
        <w:ind w:left="284" w:hanging="0"/>
        <w:rPr>
          <w:strike/>
        </w:rPr>
      </w:pPr>
      <w:r>
        <w:rPr>
          <w:strike/>
        </w:rPr>
        <w:t xml:space="preserve">No regime de empreitada por preço unitário, a caracterização do sobrepreço se dará pela superação do valor global estimado e </w:t>
      </w:r>
      <w:r>
        <w:rPr>
          <w:i/>
          <w:iCs/>
          <w:strike/>
          <w:color w:val="FF0000"/>
        </w:rPr>
        <w:t>pela superação de custo unitário tido como relevante, conforme planilha anexa ao edital;</w:t>
      </w:r>
    </w:p>
    <w:p>
      <w:pPr>
        <w:pStyle w:val="Nivel3"/>
        <w:numPr>
          <w:ilvl w:val="2"/>
          <w:numId w:val="1"/>
        </w:numPr>
        <w:ind w:left="284" w:hanging="0"/>
        <w:rPr/>
      </w:pPr>
      <w:r>
        <w:rPr/>
        <w:t>No caso de serviços de engenharia, serão consideradas inexequíveis as propostas cujos valores forem inferiores a 75% (setenta e cinco por cento) do valor orçado pela Administração, independentemente do regime de execução.</w:t>
      </w:r>
    </w:p>
    <w:p>
      <w:pPr>
        <w:pStyle w:val="Nivel3"/>
        <w:numPr>
          <w:ilvl w:val="2"/>
          <w:numId w:val="1"/>
        </w:numPr>
        <w:ind w:left="284" w:hanging="0"/>
        <w:rPr/>
      </w:pPr>
      <w:bookmarkStart w:id="44" w:name="_Hlk135304834"/>
      <w:r>
        <w:rPr/>
        <w:t>Será exigida garantia adicional do licitante vencedor cuja proposta for inferior a 85% (oitenta e cinco por cento) do valor orçado pela Administração, equivalente à diferença entre este último e o valor da proposta, sem prejuízo das demais garantias exigíveis de acordo com a Lei</w:t>
      </w:r>
      <w:bookmarkEnd w:id="44"/>
      <w:r>
        <w:rPr/>
        <w:t>.</w:t>
      </w:r>
    </w:p>
    <w:p>
      <w:pPr>
        <w:pStyle w:val="Nivel2"/>
        <w:numPr>
          <w:ilvl w:val="1"/>
          <w:numId w:val="1"/>
        </w:numPr>
        <w:ind w:left="0" w:hanging="0"/>
        <w:rPr/>
      </w:pPr>
      <w:r>
        <w:rPr/>
        <w:t>Se houver indícios de inexequibilidade da proposta de preço, ou em caso da necessidade de esclarecimentos complementares, poderão ser efetuadas diligências, para que a empresa comprove a exequibilidade da proposta.</w:t>
      </w:r>
    </w:p>
    <w:p>
      <w:pPr>
        <w:pStyle w:val="Nivel2"/>
        <w:numPr>
          <w:ilvl w:val="1"/>
          <w:numId w:val="1"/>
        </w:numPr>
        <w:ind w:left="0" w:hanging="0"/>
        <w:rPr/>
      </w:pPr>
      <w:r>
        <w:rPr/>
        <w:t>Caso o custo global estimado do objeto licitado tenha sido decomposto em seus respectivos custos unitários por meio de Planilha de Custos e Formação de Preços elaborada pela Administração, o licitante classificado em primeiro lugar será convocado para apresentar Planilha por ele elaborada, com os respectivos valores adequados ao valor final da sua proposta, sob pena de não aceitação da proposta.</w:t>
      </w:r>
    </w:p>
    <w:p>
      <w:pPr>
        <w:pStyle w:val="Nivel3"/>
        <w:numPr>
          <w:ilvl w:val="2"/>
          <w:numId w:val="1"/>
        </w:numPr>
        <w:ind w:left="284" w:hanging="0"/>
        <w:rPr>
          <w:b/>
          <w:b/>
          <w:bCs/>
        </w:rPr>
      </w:pPr>
      <w:bookmarkStart w:id="45" w:name="_Hlk126568356"/>
      <w:r>
        <w:rPr/>
        <w:t>Em se tratando de serviços de engenharia, o licitante vencedor será convocado a apresentar à Administração, por meio eletrônico, as planilhas com indicação dos quantitativos e dos custos unitários</w:t>
      </w:r>
      <w:bookmarkEnd w:id="45"/>
      <w:r>
        <w:rPr/>
        <w:t>, seguindo o modelo elaborado pela Administração, bem como com detalhamento das Bonificações e Despesas Indiretas (BDI) e dos Encargos Sociais (ES), com os respectivos valores adequados ao valor final da proposta vencedora, admitida a utilização dos preços unitários, no caso de empreitada por preço global, empreitada integral, contratação semi-integrada e contratação integrada, exclusivamente para eventuais adequações indispensáveis no cronograma físico-financeiro e para balizar excepcional aditamento posterior do contrato.</w:t>
      </w:r>
    </w:p>
    <w:p>
      <w:pPr>
        <w:pStyle w:val="Nivel3"/>
        <w:numPr>
          <w:ilvl w:val="2"/>
          <w:numId w:val="1"/>
        </w:numPr>
        <w:ind w:left="284" w:hanging="0"/>
        <w:rPr>
          <w:strike/>
          <w:shd w:fill="FFFFFF" w:val="clear"/>
        </w:rPr>
      </w:pPr>
      <w:r>
        <w:rPr>
          <w:strike/>
          <w:shd w:fill="FFFFFF" w:val="clear"/>
        </w:rPr>
        <w:t>Em se tratando de serviços com fornecimento de mão de obra em regime de dedicação exclusiva cuja produtividade seja mensurável e indicada pela Administração, o licitante deverá indicar a produtividade adotada e a quantidade de pessoal que será alocado na execução contratual.</w:t>
      </w:r>
    </w:p>
    <w:p>
      <w:pPr>
        <w:pStyle w:val="Nivel3"/>
        <w:numPr>
          <w:ilvl w:val="2"/>
          <w:numId w:val="1"/>
        </w:numPr>
        <w:ind w:left="284" w:hanging="0"/>
        <w:rPr>
          <w:strike/>
          <w:shd w:fill="FFFFFF" w:val="clear"/>
        </w:rPr>
      </w:pPr>
      <w:r>
        <w:rPr>
          <w:strike/>
          <w:shd w:fill="FFFFFF" w:val="clear"/>
        </w:rPr>
        <w:t xml:space="preserve">Caso a produtividade for diferente daquela utilizada pela Administração como referência, ou não estiver contida na faixa referencial de produtividade, mas admitida pelo ato convocatório, o licitante deverá apresentar a respectiva comprovação de exequibilidade; </w:t>
      </w:r>
    </w:p>
    <w:p>
      <w:pPr>
        <w:pStyle w:val="Nivel3"/>
        <w:numPr>
          <w:ilvl w:val="2"/>
          <w:numId w:val="1"/>
        </w:numPr>
        <w:ind w:left="284" w:hanging="0"/>
        <w:rPr>
          <w:strike/>
          <w:shd w:fill="FFFFFF" w:val="clear"/>
        </w:rPr>
      </w:pPr>
      <w:r>
        <w:rPr>
          <w:strike/>
          <w:shd w:fill="FFFFFF" w:val="clear"/>
        </w:rPr>
        <w:t>Os licitantes poderão apresentar produtividades diferenciadas daquela estabelecida pela Administração como referência, desde que não alterem o objeto da contratação, não contrariem dispositivos legais vigentes e, caso não estejam contidas nas faixas referenciais de produtividade, comprovem a exequibilidade da proposta.</w:t>
      </w:r>
    </w:p>
    <w:p>
      <w:pPr>
        <w:pStyle w:val="Nivel3"/>
        <w:numPr>
          <w:ilvl w:val="2"/>
          <w:numId w:val="1"/>
        </w:numPr>
        <w:ind w:left="284" w:hanging="0"/>
        <w:rPr>
          <w:strike/>
          <w:shd w:fill="FFFFFF" w:val="clear"/>
        </w:rPr>
      </w:pPr>
      <w:r>
        <w:rPr>
          <w:strike/>
          <w:shd w:fill="FFFFFF" w:val="clear"/>
        </w:rPr>
        <w:t>Para efeito do subitem anterior, admite-se a adequação técnica da metodologia empregada pela contratada, visando assegurar a execução do objeto, desde que mantidas as condições para a justa remuneração do serviço.</w:t>
      </w:r>
    </w:p>
    <w:p>
      <w:pPr>
        <w:pStyle w:val="Nivel2"/>
        <w:numPr>
          <w:ilvl w:val="1"/>
          <w:numId w:val="1"/>
        </w:numPr>
        <w:ind w:left="0" w:hanging="0"/>
        <w:rPr>
          <w:b/>
          <w:b/>
        </w:rPr>
      </w:pPr>
      <w:r>
        <w:rPr/>
        <w:t>Erros no preenchimento da planilha não constituem motivo para a desclassificação da proposta. A planilha poderá́ ser ajustada pelo fornecedor, no prazo indicado pelo sistema, desde que não haja majoração do preço e que se comprove que este é o bastante para arcar com todos os custos da contratação;</w:t>
      </w:r>
    </w:p>
    <w:p>
      <w:pPr>
        <w:pStyle w:val="Nivel3"/>
        <w:numPr>
          <w:ilvl w:val="2"/>
          <w:numId w:val="1"/>
        </w:numPr>
        <w:ind w:left="284" w:hanging="0"/>
        <w:rPr/>
      </w:pPr>
      <w:r>
        <w:rPr/>
        <w:t>O ajuste de que trata este dispositivo se limita a sanar erros ou falhas que não alterem a substância das propostas;</w:t>
      </w:r>
    </w:p>
    <w:p>
      <w:pPr>
        <w:pStyle w:val="Nivel3"/>
        <w:numPr>
          <w:ilvl w:val="2"/>
          <w:numId w:val="1"/>
        </w:numPr>
        <w:ind w:left="284" w:hanging="0"/>
        <w:rPr/>
      </w:pPr>
      <w:r>
        <w:rPr/>
        <w:t>Considera-se erro no preenchimento da planilha passível de correção a indicação de recolhimento de impostos e contribuições na forma do Simples Nacional, quando não cabível esse regime.</w:t>
      </w:r>
    </w:p>
    <w:p>
      <w:pPr>
        <w:pStyle w:val="Nivel2"/>
        <w:numPr>
          <w:ilvl w:val="1"/>
          <w:numId w:val="1"/>
        </w:numPr>
        <w:ind w:left="0" w:hanging="0"/>
        <w:rPr>
          <w:shd w:fill="FFFFFF" w:val="clear"/>
        </w:rPr>
      </w:pPr>
      <w:r>
        <w:rPr>
          <w:shd w:fill="FFFFFF" w:val="clear"/>
          <w:lang w:eastAsia="en-US"/>
        </w:rPr>
        <w:t xml:space="preserve">Para </w:t>
      </w:r>
      <w:r>
        <w:rPr>
          <w:shd w:fill="FFFFFF" w:val="clear"/>
        </w:rPr>
        <w:t>fins</w:t>
      </w:r>
      <w:r>
        <w:rPr>
          <w:shd w:fill="FFFFFF" w:val="clear"/>
          <w:lang w:eastAsia="en-US"/>
        </w:rPr>
        <w:t xml:space="preserve"> de análise da proposta quanto ao cumprimento </w:t>
      </w:r>
      <w:r>
        <w:rPr>
          <w:shd w:fill="FFFFFF" w:val="clear"/>
        </w:rPr>
        <w:t>das</w:t>
      </w:r>
      <w:r>
        <w:rPr>
          <w:shd w:fill="FFFFFF" w:val="clear"/>
          <w:lang w:eastAsia="en-US"/>
        </w:rPr>
        <w:t xml:space="preserve"> especificações do objeto, poderá ser colhida a </w:t>
      </w:r>
      <w:r>
        <w:rPr>
          <w:shd w:fill="FFFFFF" w:val="clear"/>
        </w:rPr>
        <w:t>manifestação</w:t>
      </w:r>
      <w:r>
        <w:rPr>
          <w:shd w:fill="FFFFFF" w:val="clear"/>
          <w:lang w:eastAsia="en-US"/>
        </w:rPr>
        <w:t xml:space="preserve"> escrita do setor requisitante do serviço ou da área especializada no objeto.</w:t>
      </w:r>
    </w:p>
    <w:p>
      <w:pPr>
        <w:pStyle w:val="Nivel2"/>
        <w:numPr>
          <w:ilvl w:val="1"/>
          <w:numId w:val="1"/>
        </w:numPr>
        <w:ind w:left="0" w:hanging="0"/>
        <w:rPr>
          <w:strike/>
        </w:rPr>
      </w:pPr>
      <w:r>
        <w:rPr>
          <w:strike/>
        </w:rPr>
        <w:t>Caso o Termo de Referência exija a apresentação de amostra, o licitante classificado em primeiro lugar deverá apresentá-la, conforme disciplinado no Termo de Referência, sob pena de não aceitação da proposta.</w:t>
      </w:r>
    </w:p>
    <w:p>
      <w:pPr>
        <w:pStyle w:val="Nivel2"/>
        <w:numPr>
          <w:ilvl w:val="1"/>
          <w:numId w:val="1"/>
        </w:numPr>
        <w:ind w:left="0" w:hanging="0"/>
        <w:rPr>
          <w:strike/>
        </w:rPr>
      </w:pPr>
      <w:r>
        <w:rPr>
          <w:strike/>
        </w:rPr>
        <w:t>Por meio de mensagem no sistema, será divulgado o local e horário de realização do procedimento para a avaliação das amostras, cuja presença será facultada a todos os interessados, incluindo os demais licitantes.</w:t>
      </w:r>
    </w:p>
    <w:p>
      <w:pPr>
        <w:pStyle w:val="Nivel2"/>
        <w:numPr>
          <w:ilvl w:val="1"/>
          <w:numId w:val="1"/>
        </w:numPr>
        <w:ind w:left="0" w:hanging="0"/>
        <w:rPr>
          <w:strike/>
        </w:rPr>
      </w:pPr>
      <w:r>
        <w:rPr>
          <w:strike/>
        </w:rPr>
        <w:t>Os resultados das avaliações serão divulgados por meio de mensagem no sistema.</w:t>
      </w:r>
    </w:p>
    <w:p>
      <w:pPr>
        <w:pStyle w:val="Nivel2"/>
        <w:numPr>
          <w:ilvl w:val="1"/>
          <w:numId w:val="1"/>
        </w:numPr>
        <w:ind w:left="0" w:hanging="0"/>
        <w:rPr>
          <w:strike/>
        </w:rPr>
      </w:pPr>
      <w:r>
        <w:rPr>
          <w:strike/>
        </w:rPr>
        <w:t>No caso de não haver entrega da amostra ou ocorrer atraso na entrega, sem justificativa aceita pelo Pregoeiro, ou havendo entrega de amostra fora das especificações previstas neste Edital, a proposta do licitante será recusada.</w:t>
      </w:r>
    </w:p>
    <w:p>
      <w:pPr>
        <w:pStyle w:val="Nivel2"/>
        <w:numPr>
          <w:ilvl w:val="1"/>
          <w:numId w:val="1"/>
        </w:numPr>
        <w:ind w:left="0" w:hanging="0"/>
        <w:rPr>
          <w:strike/>
        </w:rPr>
      </w:pPr>
      <w:r>
        <w:rPr>
          <w:strike/>
        </w:rPr>
        <w:t xml:space="preserve">Se a(s) amostra(s) apresentada(s) pelo primeiro classificado não for(em) aceita(s), o Pregoeiro analisará a aceitabilidade da proposta ou lance ofertado pelo segundo classificado. Seguir-se-á com a verificação da(s) amostra(s) e, assim, sucessivamente, até a verificação de uma que atenda às especificações constantes no Termo de Referência. </w:t>
      </w:r>
    </w:p>
    <w:p>
      <w:pPr>
        <w:pStyle w:val="Nivel01"/>
        <w:numPr>
          <w:ilvl w:val="0"/>
          <w:numId w:val="1"/>
        </w:numPr>
        <w:rPr/>
      </w:pPr>
      <w:bookmarkStart w:id="46" w:name="_Toc135469230"/>
      <w:r>
        <w:rPr/>
        <w:t>DA FASE DE HABILITAÇÃO</w:t>
      </w:r>
      <w:bookmarkEnd w:id="46"/>
    </w:p>
    <w:p>
      <w:pPr>
        <w:pStyle w:val="Nivel2"/>
        <w:numPr>
          <w:ilvl w:val="1"/>
          <w:numId w:val="1"/>
        </w:numPr>
        <w:ind w:left="0" w:hanging="0"/>
        <w:rPr/>
      </w:pPr>
      <w:r>
        <w:rPr/>
        <w:t xml:space="preserve">Os documentos previstos no Termo de Referência, necessários e suficientes para demonstrar a capacidade do licitante de realizar o objeto da licitação, serão exigidos para fins de habilitação, nos termos dos </w:t>
      </w:r>
      <w:r>
        <w:fldChar w:fldCharType="begin"/>
      </w:r>
      <w:r>
        <w:rPr>
          <w:rStyle w:val="LinkdaInternet"/>
        </w:rPr>
        <w:instrText> HYPERLINK "http://www.planalto.gov.br/ccivil_03/_ato2019-2022/2021/lei/L14133.htm" \l "art62"</w:instrText>
      </w:r>
      <w:r>
        <w:rPr>
          <w:rStyle w:val="LinkdaInternet"/>
        </w:rPr>
        <w:fldChar w:fldCharType="separate"/>
      </w:r>
      <w:r>
        <w:rPr>
          <w:rStyle w:val="LinkdaInternet"/>
        </w:rPr>
        <w:t>arts. 62 a 70 da Lei nº 14.133, de 2021</w:t>
      </w:r>
      <w:r>
        <w:rPr>
          <w:rStyle w:val="LinkdaInternet"/>
        </w:rPr>
        <w:fldChar w:fldCharType="end"/>
      </w:r>
      <w:r>
        <w:rPr/>
        <w:t>.</w:t>
      </w:r>
    </w:p>
    <w:p>
      <w:pPr>
        <w:pStyle w:val="Nivel3"/>
        <w:numPr>
          <w:ilvl w:val="2"/>
          <w:numId w:val="1"/>
        </w:numPr>
        <w:ind w:left="284" w:hanging="0"/>
        <w:rPr>
          <w:i/>
          <w:i/>
          <w:iCs/>
        </w:rPr>
      </w:pPr>
      <w:bookmarkStart w:id="47" w:name="_Ref114663777"/>
      <w:r>
        <w:rPr/>
        <w:t xml:space="preserve">A documentação exigida para fins de habilitação jurídica, fiscal, social e trabalhista e econômico-ﬁnanceira, </w:t>
      </w:r>
      <w:r>
        <w:rPr>
          <w:color w:val="auto"/>
        </w:rPr>
        <w:t xml:space="preserve">poderá </w:t>
      </w:r>
      <w:r>
        <w:rPr/>
        <w:t>ser substituída pelo registro cadastral no SICAF.</w:t>
      </w:r>
      <w:bookmarkEnd w:id="47"/>
    </w:p>
    <w:p>
      <w:pPr>
        <w:pStyle w:val="Nivel2"/>
        <w:numPr>
          <w:ilvl w:val="1"/>
          <w:numId w:val="1"/>
        </w:numPr>
        <w:ind w:left="0" w:hanging="0"/>
        <w:rPr>
          <w:i/>
          <w:i/>
        </w:rPr>
      </w:pPr>
      <w:r>
        <w:rPr>
          <w:color w:val="auto"/>
        </w:rPr>
        <w:t xml:space="preserve">Quando </w:t>
      </w:r>
      <w:r>
        <w:rPr/>
        <w:t>permitida</w:t>
      </w:r>
      <w:r>
        <w:rPr>
          <w:color w:val="auto"/>
        </w:rPr>
        <w:t xml:space="preserve"> a </w:t>
      </w:r>
      <w:r>
        <w:rPr/>
        <w:t>participação de empresas estrangeiras que não funcionem no País, as exigências de habilitação serão atendidas mediante documentos equivalentes, inicialmente apresentados em tradução livre.</w:t>
      </w:r>
    </w:p>
    <w:p>
      <w:pPr>
        <w:pStyle w:val="Nivel2"/>
        <w:numPr>
          <w:ilvl w:val="1"/>
          <w:numId w:val="1"/>
        </w:numPr>
        <w:ind w:left="0" w:hanging="0"/>
        <w:rPr>
          <w:i/>
          <w:i/>
          <w:iCs/>
        </w:rPr>
      </w:pPr>
      <w:r>
        <w:rPr/>
        <w:t xml:space="preserve">Na hipótese de o licitante vencedor ser empresa estrangeira que não funcione no País, para ﬁns de assinatura do contrato ou da ata de registro de preços, os documentos exigidos para a habilitação serão traduzidos por tradutor juramentado no País e apostilados nos termos do disposto no </w:t>
      </w:r>
      <w:hyperlink r:id="rId18">
        <w:r>
          <w:rPr>
            <w:rStyle w:val="LinkdaInternet"/>
          </w:rPr>
          <w:t>Decreto nº 8.660, de 29 de janeiro de 2016</w:t>
        </w:r>
      </w:hyperlink>
      <w:r>
        <w:rPr/>
        <w:t>, ou de outro que venha a substituí-lo, ou consularizados pelos respectivos consulados ou embaixadas.</w:t>
      </w:r>
    </w:p>
    <w:p>
      <w:pPr>
        <w:pStyle w:val="Nivel2"/>
        <w:numPr>
          <w:ilvl w:val="1"/>
          <w:numId w:val="1"/>
        </w:numPr>
        <w:ind w:left="0" w:hanging="0"/>
        <w:rPr>
          <w:strike/>
        </w:rPr>
      </w:pPr>
      <w:r>
        <w:rPr>
          <w:strike/>
        </w:rPr>
        <w:t>Quando permitida a participação de consórcio de empresas, a habilitação técnica, quando exigida, será feita por meio do somatório dos quantitativos de cada consorciado e, para efeito de habilitação econômico-financeira, quando exigida, será observado o somatório dos valores de cada consorciado.</w:t>
      </w:r>
    </w:p>
    <w:p>
      <w:pPr>
        <w:pStyle w:val="Nivel3"/>
        <w:numPr>
          <w:ilvl w:val="2"/>
          <w:numId w:val="1"/>
        </w:numPr>
        <w:ind w:left="284" w:hanging="0"/>
        <w:rPr>
          <w:strike/>
        </w:rPr>
      </w:pPr>
      <w:r>
        <w:rPr>
          <w:strike/>
        </w:rPr>
        <w:t xml:space="preserve">Se o consórcio não for formado integralmente por microempresas ou empresas de pequeno porte e o termo de referência exigir requisitos de habilitação econômico-financeira, haverá um acréscimo de </w:t>
      </w:r>
      <w:r>
        <w:rPr>
          <w:strike/>
          <w:color w:val="FF0000"/>
        </w:rPr>
        <w:t>[INSERIR UM PERCENTUAL 10% A 30 %, SALVO SE HOUVER JUSTIFICATIVA NOS AUTOS PARA SUPRIMIR ESSE ACRÉSCIMO]</w:t>
      </w:r>
      <w:r>
        <w:rPr>
          <w:strike/>
        </w:rPr>
        <w:t xml:space="preserve"> </w:t>
      </w:r>
      <w:r>
        <w:rPr>
          <w:strike/>
          <w:color w:val="auto"/>
        </w:rPr>
        <w:t>para o consórcio em relação ao valor exigido para os licitantes individuais.</w:t>
      </w:r>
    </w:p>
    <w:p>
      <w:pPr>
        <w:pStyle w:val="Nivel2"/>
        <w:numPr>
          <w:ilvl w:val="1"/>
          <w:numId w:val="1"/>
        </w:numPr>
        <w:ind w:left="0" w:hanging="0"/>
        <w:rPr/>
      </w:pPr>
      <w:r>
        <w:rPr/>
        <w:t xml:space="preserve">Os documentos exigidos para fins de habilitação poderão ser apresentados em original, por cópia ou </w:t>
      </w:r>
      <w:r>
        <w:rPr/>
        <w:t xml:space="preserve">através do e-mail: </w:t>
      </w:r>
      <w:hyperlink r:id="rId19">
        <w:r>
          <w:rPr>
            <w:rStyle w:val="LinkdaInternet"/>
          </w:rPr>
          <w:t>licitaparque7@gmail.com</w:t>
        </w:r>
      </w:hyperlink>
      <w:r>
        <w:rPr/>
        <w:t>.</w:t>
      </w:r>
    </w:p>
    <w:p>
      <w:pPr>
        <w:pStyle w:val="Nivel2"/>
        <w:numPr>
          <w:ilvl w:val="1"/>
          <w:numId w:val="1"/>
        </w:numPr>
        <w:ind w:left="0" w:hanging="0"/>
        <w:rPr>
          <w:i/>
          <w:i/>
        </w:rPr>
      </w:pPr>
      <w:r>
        <w:rPr/>
        <w:t>Os documentos exigidos para fins de habilitação poderão ser substituídos por registro cadastral emitido por órgão ou entidade pública, desde que o registro tenha sido feito em obediência ao disposto na Lei nº 14.133/2021.</w:t>
      </w:r>
    </w:p>
    <w:p>
      <w:pPr>
        <w:pStyle w:val="Nivel2"/>
        <w:numPr>
          <w:ilvl w:val="1"/>
          <w:numId w:val="1"/>
        </w:numPr>
        <w:ind w:left="0" w:hanging="0"/>
        <w:rPr/>
      </w:pPr>
      <w:r>
        <w:rPr/>
        <w:t>Será verificado se o licitante apresentou declaração de que atende aos requisitos de habilitação, e o declarante responderá pela veracidade das informações prestadas, na forma da lei (</w:t>
      </w:r>
      <w:r>
        <w:fldChar w:fldCharType="begin"/>
      </w:r>
      <w:r>
        <w:rPr>
          <w:rStyle w:val="LinkdaInternet"/>
        </w:rPr>
        <w:instrText> HYPERLINK "http://www.planalto.gov.br/ccivil_03/_ato2019-2022/2021/lei/L14133.htm" \l "art63"</w:instrText>
      </w:r>
      <w:r>
        <w:rPr>
          <w:rStyle w:val="LinkdaInternet"/>
        </w:rPr>
        <w:fldChar w:fldCharType="separate"/>
      </w:r>
      <w:r>
        <w:rPr>
          <w:rStyle w:val="LinkdaInternet"/>
        </w:rPr>
        <w:t>art. 63, I, da Lei nº 14.133/2021</w:t>
      </w:r>
      <w:r>
        <w:rPr>
          <w:rStyle w:val="LinkdaInternet"/>
        </w:rPr>
        <w:fldChar w:fldCharType="end"/>
      </w:r>
      <w:r>
        <w:rPr/>
        <w:t>).</w:t>
      </w:r>
    </w:p>
    <w:p>
      <w:pPr>
        <w:pStyle w:val="Nivel2"/>
        <w:numPr>
          <w:ilvl w:val="1"/>
          <w:numId w:val="1"/>
        </w:numPr>
        <w:ind w:left="0" w:hanging="0"/>
        <w:rPr>
          <w:i/>
          <w:i/>
        </w:rPr>
      </w:pPr>
      <w:r>
        <w:rPr/>
        <w:t>Será verificado se o licitante apresentou no sistema, sob pena de inabilitação, a declaração de que cumpre as exigências de reserva de cargos para pessoa com deficiência e para reabilitado da Previdência Social, previstas em lei e em outras normas específicas.</w:t>
      </w:r>
    </w:p>
    <w:p>
      <w:pPr>
        <w:pStyle w:val="Nivel2"/>
        <w:numPr>
          <w:ilvl w:val="1"/>
          <w:numId w:val="1"/>
        </w:numPr>
        <w:ind w:left="0" w:hanging="0"/>
        <w:rPr>
          <w:i/>
          <w:i/>
        </w:rPr>
      </w:pPr>
      <w:r>
        <w:rPr/>
        <w:t>O licitante deverá apresentar, sob pena de desclassificação, declaração de que suas propostas econômicas compreendem a integralidade dos custos para atendimento dos direitos trabalhistas assegurados na Constituição Federal, nas leis trabalhistas, nas normas infralegais, nas convenções coletivas de trabalho e nos termos de ajustamento de conduta vigentes na data de entrega das propostas.</w:t>
      </w:r>
    </w:p>
    <w:p>
      <w:pPr>
        <w:pStyle w:val="Nvel2Red"/>
        <w:numPr>
          <w:ilvl w:val="1"/>
          <w:numId w:val="1"/>
        </w:numPr>
        <w:ind w:left="0" w:hanging="0"/>
        <w:rPr>
          <w:strike/>
        </w:rPr>
      </w:pPr>
      <w:r>
        <w:rPr>
          <w:strike/>
        </w:rPr>
        <w:t xml:space="preserve">Considerando que na presente contratação a avaliação prévia do local de execução é imprescindível para o conhecimento pleno das condições e peculiaridades do objeto a ser contratado, o licitante deve atestar, sob pena de inabilitação, que conhece o local e as condições de realização do serviço, assegurado a ele o direito de realização de </w:t>
      </w:r>
      <w:r>
        <w:rPr>
          <w:b/>
          <w:bCs/>
          <w:strike/>
        </w:rPr>
        <w:t>vistoria prévia.</w:t>
      </w:r>
    </w:p>
    <w:p>
      <w:pPr>
        <w:pStyle w:val="Nvel3R"/>
        <w:numPr>
          <w:ilvl w:val="2"/>
          <w:numId w:val="1"/>
        </w:numPr>
        <w:ind w:left="284" w:hanging="0"/>
        <w:rPr>
          <w:strike/>
        </w:rPr>
      </w:pPr>
      <w:r>
        <w:rPr>
          <w:strike/>
        </w:rPr>
        <w:t xml:space="preserve">O licitante que optar por realizar </w:t>
      </w:r>
      <w:r>
        <w:rPr>
          <w:b/>
          <w:bCs/>
          <w:strike/>
        </w:rPr>
        <w:t>vistoria</w:t>
      </w:r>
      <w:r>
        <w:rPr>
          <w:strike/>
        </w:rPr>
        <w:t xml:space="preserve"> prévia terá disponibilizado pela Administração data e horário exclusivos, a ser agendado [INDICAR FORMA DE AGENDAMENTO], de modo que seu agendamento não coincida com o agendamento de outros licitantes.</w:t>
      </w:r>
    </w:p>
    <w:p>
      <w:pPr>
        <w:pStyle w:val="Nvel3R"/>
        <w:numPr>
          <w:ilvl w:val="2"/>
          <w:numId w:val="1"/>
        </w:numPr>
        <w:ind w:left="284" w:hanging="0"/>
        <w:rPr>
          <w:strike/>
        </w:rPr>
      </w:pPr>
      <w:r>
        <w:rPr>
          <w:strike/>
        </w:rPr>
        <w:t xml:space="preserve">Caso o licitante opte por não realizar </w:t>
      </w:r>
      <w:r>
        <w:rPr>
          <w:b/>
          <w:bCs/>
          <w:strike/>
        </w:rPr>
        <w:t>vistoria</w:t>
      </w:r>
      <w:r>
        <w:rPr>
          <w:strike/>
        </w:rPr>
        <w:t>, poderá substituir a declaração exigida no presente item por declaração formal assinada pelo seu responsável técnico acerca do conhecimento pleno das condições e peculiaridades da contratação.</w:t>
      </w:r>
    </w:p>
    <w:p>
      <w:pPr>
        <w:pStyle w:val="Nivel2"/>
        <w:numPr>
          <w:ilvl w:val="1"/>
          <w:numId w:val="1"/>
        </w:numPr>
        <w:ind w:left="0" w:hanging="0"/>
        <w:rPr>
          <w:i/>
          <w:i/>
        </w:rPr>
      </w:pPr>
      <w:r>
        <w:rPr/>
        <w:t>A habilitação será verificada por meio do Sicaf, nos documentos por ele abrangidos.</w:t>
      </w:r>
    </w:p>
    <w:p>
      <w:pPr>
        <w:pStyle w:val="Nivel3"/>
        <w:numPr>
          <w:ilvl w:val="2"/>
          <w:numId w:val="1"/>
        </w:numPr>
        <w:ind w:left="284" w:hanging="0"/>
        <w:rPr/>
      </w:pPr>
      <w:r>
        <w:rPr/>
        <w:t>Somente haverá a necessidade de comprovação do preenchimento de requisitos mediante apresentação dos documentos originais não-digitais quando houver dúvida em relação à integridade do documento digital ou quando a lei expressamente o exigir. (</w:t>
      </w:r>
      <w:r>
        <w:fldChar w:fldCharType="begin"/>
      </w:r>
      <w:r>
        <w:rPr>
          <w:rStyle w:val="LinkdaInternet"/>
        </w:rPr>
        <w:instrText> HYPERLINK "https://www.gov.br/compras/pt-br/acesso-a-informacao/legislacao/instrucoes-normativas/instrucao-normativa-no-3-de-26-de-abril-de-2018" \l "art4"</w:instrText>
      </w:r>
      <w:r>
        <w:rPr>
          <w:rStyle w:val="LinkdaInternet"/>
        </w:rPr>
        <w:fldChar w:fldCharType="separate"/>
      </w:r>
      <w:r>
        <w:rPr>
          <w:rStyle w:val="LinkdaInternet"/>
        </w:rPr>
        <w:t>IN nº 3/2018, art. 4º, §1º, e art. 6º, §4º</w:t>
      </w:r>
      <w:r>
        <w:rPr>
          <w:rStyle w:val="LinkdaInternet"/>
        </w:rPr>
        <w:fldChar w:fldCharType="end"/>
      </w:r>
      <w:r>
        <w:rPr/>
        <w:t>).</w:t>
      </w:r>
    </w:p>
    <w:p>
      <w:pPr>
        <w:pStyle w:val="Nivel2"/>
        <w:numPr>
          <w:ilvl w:val="1"/>
          <w:numId w:val="1"/>
        </w:numPr>
        <w:ind w:left="0" w:hanging="0"/>
        <w:rPr/>
      </w:pPr>
      <w:r>
        <w:rPr/>
        <w:t>É de responsabilidade do licitante conferir a exatidão dos seus dados cadastrais no Sicaf e mantê-los atualizados junto aos órgãos responsáveis pela informação, devendo proceder, imediatamente, à correção ou à alteração dos registros tão logo identifique incorreção ou aqueles se tornem desatualizados. (</w:t>
      </w:r>
      <w:hyperlink r:id="rId20">
        <w:r>
          <w:rPr>
            <w:rStyle w:val="LinkdaInternet"/>
          </w:rPr>
          <w:t xml:space="preserve">IN nº 3/2018, art. 7º, </w:t>
        </w:r>
        <w:r>
          <w:rPr>
            <w:rStyle w:val="LinkdaInternet"/>
            <w:i/>
            <w:iCs/>
          </w:rPr>
          <w:t>caput</w:t>
        </w:r>
      </w:hyperlink>
      <w:r>
        <w:rPr/>
        <w:t>).</w:t>
      </w:r>
    </w:p>
    <w:p>
      <w:pPr>
        <w:pStyle w:val="Nivel3"/>
        <w:numPr>
          <w:ilvl w:val="2"/>
          <w:numId w:val="1"/>
        </w:numPr>
        <w:ind w:left="284" w:hanging="0"/>
        <w:rPr/>
      </w:pPr>
      <w:r>
        <w:rPr/>
        <w:t>A não observância do disposto no item anterior poderá ensejar desclassificação no momento da habilitação. (</w:t>
      </w:r>
      <w:hyperlink r:id="rId21">
        <w:r>
          <w:rPr>
            <w:rStyle w:val="LinkdaInternet"/>
          </w:rPr>
          <w:t>IN nº 3/2018, art. 7º, parágrafo único</w:t>
        </w:r>
      </w:hyperlink>
      <w:r>
        <w:rPr/>
        <w:t>).</w:t>
      </w:r>
    </w:p>
    <w:p>
      <w:pPr>
        <w:pStyle w:val="Nivel2"/>
        <w:numPr>
          <w:ilvl w:val="1"/>
          <w:numId w:val="1"/>
        </w:numPr>
        <w:ind w:left="0" w:hanging="0"/>
        <w:rPr>
          <w:i/>
          <w:i/>
          <w:iCs/>
        </w:rPr>
      </w:pPr>
      <w:r>
        <w:rPr/>
        <w:t>A verificação pelo pregoeiro, em sítios eletrônicos oficiais de órgãos e entidades emissores de certidões constitui meio legal de prova, para fins de habilitação.</w:t>
      </w:r>
    </w:p>
    <w:p>
      <w:pPr>
        <w:pStyle w:val="Nivel3"/>
        <w:numPr>
          <w:ilvl w:val="2"/>
          <w:numId w:val="1"/>
        </w:numPr>
        <w:ind w:left="284" w:hanging="0"/>
        <w:rPr>
          <w:i/>
          <w:i/>
          <w:iCs/>
        </w:rPr>
      </w:pPr>
      <w:bookmarkStart w:id="48" w:name="_Ref114663151"/>
      <w:r>
        <w:rPr/>
        <w:t>Os documentos exigidos para habilitação que não estejam contemplados no Sicaf serão enviados por meio do sistema, em formato digital, no prazo de</w:t>
      </w:r>
      <w:r>
        <w:rPr>
          <w:b/>
          <w:bCs/>
        </w:rPr>
        <w:t xml:space="preserve"> </w:t>
      </w:r>
      <w:r>
        <w:rPr>
          <w:b/>
          <w:bCs/>
          <w:color w:val="auto"/>
        </w:rPr>
        <w:t>02:00 h, (DUAS HORAS)</w:t>
      </w:r>
      <w:r>
        <w:rPr/>
        <w:t>, prorrogável por igual período, contado da solicitação do pregoeiro.</w:t>
      </w:r>
      <w:bookmarkEnd w:id="48"/>
    </w:p>
    <w:p>
      <w:pPr>
        <w:pStyle w:val="Nivel3"/>
        <w:numPr>
          <w:ilvl w:val="2"/>
          <w:numId w:val="1"/>
        </w:numPr>
        <w:ind w:left="284" w:hanging="0"/>
        <w:rPr>
          <w:i/>
          <w:i/>
          <w:iCs/>
        </w:rPr>
      </w:pPr>
      <w:r>
        <w:rPr/>
        <w:t xml:space="preserve">Na hipótese de a fase de habilitação anteceder a fase de apresentação de propostas e lances, os licitantes encaminharão, por meio do sistema, simultaneamente os documentos de habilitação e a proposta com o preço ou o percentual de desconto, observado o disposto no </w:t>
      </w:r>
      <w:hyperlink r:id="rId22">
        <w:r>
          <w:rPr>
            <w:rStyle w:val="LinkdaInternet"/>
          </w:rPr>
          <w:t xml:space="preserve">§ 1º do art. 36 e no § 1º do art. 39 da </w:t>
        </w:r>
        <w:r>
          <w:rPr>
            <w:rStyle w:val="LinkdaInternet"/>
            <w:i/>
            <w:iCs/>
          </w:rPr>
          <w:t>Instrução Normativa SEGES nº 73, de 30 de setembro de 2022</w:t>
        </w:r>
        <w:r>
          <w:rPr>
            <w:rStyle w:val="LinkdaInternet"/>
          </w:rPr>
          <w:t>.</w:t>
        </w:r>
      </w:hyperlink>
    </w:p>
    <w:p>
      <w:pPr>
        <w:pStyle w:val="Nivel2"/>
        <w:numPr>
          <w:ilvl w:val="1"/>
          <w:numId w:val="1"/>
        </w:numPr>
        <w:ind w:left="0" w:hanging="0"/>
        <w:rPr>
          <w:i/>
          <w:i/>
        </w:rPr>
      </w:pPr>
      <w:r>
        <w:rPr/>
        <w:t>A verificação no Sicaf ou a exigência dos documentos nele não contidos somente será feita em relação ao licitante vencedor.</w:t>
      </w:r>
    </w:p>
    <w:p>
      <w:pPr>
        <w:pStyle w:val="Nivel3"/>
        <w:numPr>
          <w:ilvl w:val="2"/>
          <w:numId w:val="1"/>
        </w:numPr>
        <w:ind w:left="284" w:hanging="0"/>
        <w:rPr/>
      </w:pPr>
      <w:r>
        <w:rPr/>
        <w:t>Os documentos relativos à regularidade fiscal que constem do Termo de Referência somente serão exigidos, em qualquer caso, em momento posterior ao julgamento das propostas, e apenas do licitante mais bem classificado.</w:t>
      </w:r>
    </w:p>
    <w:p>
      <w:pPr>
        <w:pStyle w:val="Nivel3"/>
        <w:numPr>
          <w:ilvl w:val="2"/>
          <w:numId w:val="1"/>
        </w:numPr>
        <w:ind w:left="284" w:hanging="0"/>
        <w:rPr/>
      </w:pPr>
      <w:r>
        <w:rPr/>
        <w:t>Respeitada a exceção do subitem anterior, relativa à regularidade fiscal, quando a fase de habilitação anteceder as fases de apresentação de propostas e lances e de julgamento, a verificação ou exigência do presente subitem ocorrerá em relação a todos os licitantes.</w:t>
      </w:r>
    </w:p>
    <w:p>
      <w:pPr>
        <w:pStyle w:val="Nivel2"/>
        <w:numPr>
          <w:ilvl w:val="1"/>
          <w:numId w:val="1"/>
        </w:numPr>
        <w:ind w:left="0" w:hanging="0"/>
        <w:rPr>
          <w:i/>
          <w:i/>
        </w:rPr>
      </w:pPr>
      <w:r>
        <w:rPr/>
        <w:t>Após a entrega dos documentos para habilitação, não será permitida a substituição ou a apresentação de novos documentos, salvo em sede de diligência, para (</w:t>
      </w:r>
      <w:r>
        <w:fldChar w:fldCharType="begin"/>
      </w:r>
      <w:r>
        <w:rPr>
          <w:rStyle w:val="LinkdaInternet"/>
        </w:rPr>
        <w:instrText> HYPERLINK "http://www.planalto.gov.br/ccivil_03/_ato2019-2022/2021/lei/L14133.htm" \l "art64"</w:instrText>
      </w:r>
      <w:r>
        <w:rPr>
          <w:rStyle w:val="LinkdaInternet"/>
        </w:rPr>
        <w:fldChar w:fldCharType="separate"/>
      </w:r>
      <w:r>
        <w:rPr>
          <w:rStyle w:val="LinkdaInternet"/>
        </w:rPr>
        <w:t>Lei 14.133/21, art. 64</w:t>
      </w:r>
      <w:r>
        <w:rPr>
          <w:rStyle w:val="LinkdaInternet"/>
        </w:rPr>
        <w:fldChar w:fldCharType="end"/>
      </w:r>
      <w:r>
        <w:rPr/>
        <w:t xml:space="preserve">, e </w:t>
      </w:r>
      <w:hyperlink r:id="rId23">
        <w:r>
          <w:rPr>
            <w:rStyle w:val="LinkdaInternet"/>
          </w:rPr>
          <w:t>IN 73/2022, art. 39, §4º</w:t>
        </w:r>
      </w:hyperlink>
      <w:r>
        <w:rPr/>
        <w:t>):</w:t>
      </w:r>
    </w:p>
    <w:p>
      <w:pPr>
        <w:pStyle w:val="Nivel3"/>
        <w:numPr>
          <w:ilvl w:val="2"/>
          <w:numId w:val="1"/>
        </w:numPr>
        <w:ind w:left="284" w:hanging="0"/>
        <w:rPr/>
      </w:pPr>
      <w:r>
        <w:rPr/>
        <w:t>complementação de informações acerca dos documentos já apresentados pelos licitantes e desde que necessária para apurar fatos existentes à época da abertura do certame; e</w:t>
      </w:r>
    </w:p>
    <w:p>
      <w:pPr>
        <w:pStyle w:val="Nivel3"/>
        <w:numPr>
          <w:ilvl w:val="2"/>
          <w:numId w:val="1"/>
        </w:numPr>
        <w:ind w:left="284" w:hanging="0"/>
        <w:rPr/>
      </w:pPr>
      <w:r>
        <w:rPr/>
        <w:t>atualização de documentos cuja validade tenha expirado após a data de recebimento das propostas;</w:t>
      </w:r>
    </w:p>
    <w:p>
      <w:pPr>
        <w:pStyle w:val="Nivel2"/>
        <w:numPr>
          <w:ilvl w:val="1"/>
          <w:numId w:val="1"/>
        </w:numPr>
        <w:ind w:left="0" w:hanging="0"/>
        <w:rPr/>
      </w:pPr>
      <w:bookmarkStart w:id="49" w:name="_Ref114670319"/>
      <w:r>
        <w:rPr/>
        <w:t>Na análise dos documentos de habilitação, a comissão de contratação poderá sanar erros ou falhas, que não alterem a substância dos documentos e sua validade jurídica, mediante decisão fundamentada, registrada em ata e acessível a todos, atribuindo-lhes eﬁcácia para fins de habilitação e classificação.</w:t>
      </w:r>
      <w:bookmarkEnd w:id="49"/>
    </w:p>
    <w:p>
      <w:pPr>
        <w:pStyle w:val="Nivel2"/>
        <w:numPr>
          <w:ilvl w:val="1"/>
          <w:numId w:val="1"/>
        </w:numPr>
        <w:ind w:left="0" w:hanging="0"/>
        <w:rPr/>
      </w:pPr>
      <w:bookmarkStart w:id="50" w:name="_Ref114665528"/>
      <w:r>
        <w:rPr/>
        <w:t xml:space="preserve">Na hipótese de o licitante não atender às exigências para habilitação, o pregoeiro examinará a proposta subsequente e assim sucessivamente, na ordem de classificação, até a apuração de uma proposta que atenda ao presente edital, observado o prazo disposto no subitem </w:t>
      </w:r>
      <w:r>
        <w:rPr/>
        <w:fldChar w:fldCharType="begin"/>
      </w:r>
      <w:r>
        <w:rPr/>
        <w:instrText> REF _Ref114663151 \r \h </w:instrText>
      </w:r>
      <w:r>
        <w:rPr/>
        <w:fldChar w:fldCharType="separate"/>
      </w:r>
      <w:r>
        <w:rPr/>
        <w:t>8.13.1.</w:t>
      </w:r>
      <w:r>
        <w:rPr/>
        <w:fldChar w:fldCharType="end"/>
      </w:r>
      <w:r>
        <w:rPr/>
        <w:t>.</w:t>
      </w:r>
      <w:bookmarkEnd w:id="50"/>
    </w:p>
    <w:p>
      <w:pPr>
        <w:pStyle w:val="Nivel2"/>
        <w:numPr>
          <w:ilvl w:val="1"/>
          <w:numId w:val="1"/>
        </w:numPr>
        <w:ind w:left="0" w:hanging="0"/>
        <w:rPr/>
      </w:pPr>
      <w:bookmarkStart w:id="51" w:name="_Ref114665515"/>
      <w:r>
        <w:rPr/>
        <w:t>Somente serão disponibilizados para acesso público os documentos de habilitação do licitante cuja proposta atenda ao edital de licitação, após concluídos os procedimentos de que trata o subitem anterior</w:t>
      </w:r>
      <w:bookmarkEnd w:id="51"/>
      <w:r>
        <w:rPr/>
        <w:t>.</w:t>
      </w:r>
    </w:p>
    <w:p>
      <w:pPr>
        <w:pStyle w:val="Nivel2"/>
        <w:numPr>
          <w:ilvl w:val="1"/>
          <w:numId w:val="1"/>
        </w:numPr>
        <w:ind w:left="0" w:hanging="0"/>
        <w:rPr/>
      </w:pPr>
      <w:r>
        <w:rPr/>
        <w:t>A comprovação de regularidade fiscal e trabalhista das microempresas e das empresas de pequeno porte somente será exigida para efeito de contratação, e não como condição para participação na licitação (</w:t>
      </w:r>
      <w:r>
        <w:fldChar w:fldCharType="begin"/>
      </w:r>
      <w:r>
        <w:rPr>
          <w:rStyle w:val="LinkdaInternet"/>
          <w:u w:val="none"/>
          <w:color w:val="000000"/>
        </w:rPr>
        <w:instrText> HYPERLINK "https://www.planalto.gov.br/ccivil_03/_ato2015-2018/2015/decreto/d8538.htm" \l "art4"</w:instrText>
      </w:r>
      <w:r>
        <w:rPr>
          <w:rStyle w:val="LinkdaInternet"/>
          <w:u w:val="none"/>
          <w:color w:val="000000"/>
        </w:rPr>
        <w:fldChar w:fldCharType="separate"/>
      </w:r>
      <w:r>
        <w:rPr>
          <w:rStyle w:val="LinkdaInternet"/>
          <w:color w:val="000000"/>
          <w:u w:val="none"/>
        </w:rPr>
        <w:t>art. 4º do Decreto nº 8.538/2015</w:t>
      </w:r>
      <w:r>
        <w:rPr>
          <w:rStyle w:val="LinkdaInternet"/>
          <w:u w:val="none"/>
          <w:color w:val="000000"/>
        </w:rPr>
        <w:fldChar w:fldCharType="end"/>
      </w:r>
      <w:r>
        <w:rPr/>
        <w:t>).</w:t>
      </w:r>
    </w:p>
    <w:p>
      <w:pPr>
        <w:pStyle w:val="Nivel2"/>
        <w:numPr>
          <w:ilvl w:val="1"/>
          <w:numId w:val="1"/>
        </w:numPr>
        <w:ind w:left="0" w:hanging="0"/>
        <w:rPr/>
      </w:pPr>
      <w:r>
        <w:rPr/>
        <w:t>Quando a fase de habilitação anteceder a de julgamento e já tiver sido encerrada, não caberá exclusão de licitante por motivo relacionado à habilitação, salvo em razão de fatos supervenientes ou só conhecidos após o julgamento.</w:t>
      </w:r>
    </w:p>
    <w:p>
      <w:pPr>
        <w:pStyle w:val="Nivel01"/>
        <w:numPr>
          <w:ilvl w:val="0"/>
          <w:numId w:val="1"/>
        </w:numPr>
        <w:rPr>
          <w:shd w:fill="FFFFFF" w:val="clear"/>
        </w:rPr>
      </w:pPr>
      <w:r>
        <w:rPr>
          <w:shd w:fill="FFFFFF" w:val="clear"/>
        </w:rPr>
        <w:t>DA ATA DE REGISTRO DE PREÇOS</w:t>
      </w:r>
    </w:p>
    <w:p>
      <w:pPr>
        <w:pStyle w:val="Nivel2"/>
        <w:numPr>
          <w:ilvl w:val="1"/>
          <w:numId w:val="1"/>
        </w:numPr>
        <w:ind w:left="0" w:hanging="0"/>
        <w:rPr>
          <w:shd w:fill="FFFFFF" w:val="clear"/>
        </w:rPr>
      </w:pPr>
      <w:r>
        <w:rPr>
          <w:shd w:fill="FFFFFF" w:val="clear"/>
        </w:rPr>
        <w:t xml:space="preserve">Homologado o resultado da licitação, o licitante mais bem classificado terá o prazo de </w:t>
      </w:r>
      <w:r>
        <w:rPr>
          <w:rFonts w:cs="Arial"/>
          <w:b/>
          <w:bCs/>
          <w:color w:val="000000"/>
          <w:sz w:val="20"/>
          <w:szCs w:val="20"/>
          <w:shd w:fill="FFFFFF" w:val="clear"/>
          <w:lang w:eastAsia="pt-BR"/>
        </w:rPr>
        <w:t>05</w:t>
      </w:r>
      <w:r>
        <w:rPr>
          <w:b/>
          <w:bCs/>
          <w:shd w:fill="FFFFFF" w:val="clear"/>
        </w:rPr>
        <w:t xml:space="preserve"> (</w:t>
      </w:r>
      <w:r>
        <w:rPr>
          <w:rFonts w:cs="Arial"/>
          <w:b/>
          <w:bCs/>
          <w:color w:val="000000"/>
          <w:sz w:val="20"/>
          <w:szCs w:val="20"/>
          <w:shd w:fill="FFFFFF" w:val="clear"/>
          <w:lang w:eastAsia="pt-BR"/>
        </w:rPr>
        <w:t>cinco</w:t>
      </w:r>
      <w:r>
        <w:rPr>
          <w:b/>
          <w:bCs/>
          <w:shd w:fill="FFFFFF" w:val="clear"/>
        </w:rPr>
        <w:t xml:space="preserve">) dias </w:t>
      </w:r>
      <w:r>
        <w:rPr>
          <w:b/>
          <w:bCs/>
          <w:shd w:fill="FFFFFF" w:val="clear"/>
        </w:rPr>
        <w:t>úteis</w:t>
      </w:r>
      <w:r>
        <w:rPr>
          <w:shd w:fill="FFFFFF" w:val="clear"/>
        </w:rPr>
        <w:t xml:space="preserve">, contados a partir da data de sua convocação, para assinar a Ata de Registro de Preços, cujo prazo de validade encontra-se nela fixado, sob pena de decadência do direito à contratação, sem prejuízo das sanções previstas na Lei nº 14.133, de 2021. </w:t>
      </w:r>
    </w:p>
    <w:p>
      <w:pPr>
        <w:pStyle w:val="Nivel2"/>
        <w:numPr>
          <w:ilvl w:val="1"/>
          <w:numId w:val="1"/>
        </w:numPr>
        <w:ind w:left="0" w:hanging="0"/>
        <w:rPr>
          <w:shd w:fill="FFFFFF" w:val="clear"/>
        </w:rPr>
      </w:pPr>
      <w:r>
        <w:rPr>
          <w:shd w:fill="FFFFFF" w:val="clear"/>
        </w:rPr>
        <w:t>O prazo de convocação poderá ser prorrogado uma vez, por igual período, mediante solicitação do licitante mais bem classificado ou do fornecedor convocado, desde que:</w:t>
      </w:r>
    </w:p>
    <w:p>
      <w:pPr>
        <w:pStyle w:val="Nivel2"/>
        <w:numPr>
          <w:ilvl w:val="0"/>
          <w:numId w:val="0"/>
        </w:numPr>
        <w:ind w:left="567" w:hanging="0"/>
        <w:rPr>
          <w:shd w:fill="FFFFFF" w:val="clear"/>
        </w:rPr>
      </w:pPr>
      <w:r>
        <w:rPr>
          <w:iCs/>
          <w:color w:val="000000"/>
          <w:shd w:fill="FFFFFF" w:val="clear"/>
        </w:rPr>
        <w:t>(a) a solicitação seja devidamente justificada e apresentada dentro do prazo; e</w:t>
      </w:r>
    </w:p>
    <w:p>
      <w:pPr>
        <w:pStyle w:val="Nivel2"/>
        <w:numPr>
          <w:ilvl w:val="0"/>
          <w:numId w:val="0"/>
        </w:numPr>
        <w:ind w:left="567" w:hanging="0"/>
        <w:rPr>
          <w:shd w:fill="FFFFFF" w:val="clear"/>
        </w:rPr>
      </w:pPr>
      <w:r>
        <w:rPr>
          <w:iCs/>
          <w:color w:val="000000"/>
          <w:shd w:fill="FFFFFF" w:val="clear"/>
        </w:rPr>
        <w:t>(b) a justificativa apresentada seja aceita pela Administração.</w:t>
      </w:r>
    </w:p>
    <w:p>
      <w:pPr>
        <w:pStyle w:val="Nivel2"/>
        <w:numPr>
          <w:ilvl w:val="1"/>
          <w:numId w:val="1"/>
        </w:numPr>
        <w:ind w:left="0" w:hanging="0"/>
        <w:rPr>
          <w:shd w:fill="FFFFFF" w:val="clear"/>
        </w:rPr>
      </w:pPr>
      <w:r>
        <w:rPr>
          <w:shd w:fill="FFFFFF" w:val="clear"/>
        </w:rPr>
        <w:t>A ata de registro de preços será assinada por meio de assinatura digital e disponibilizada no sistema de registro de preços.</w:t>
      </w:r>
    </w:p>
    <w:p>
      <w:pPr>
        <w:pStyle w:val="Nivel2"/>
        <w:numPr>
          <w:ilvl w:val="1"/>
          <w:numId w:val="1"/>
        </w:numPr>
        <w:ind w:left="0" w:hanging="0"/>
        <w:rPr>
          <w:shd w:fill="FFFFFF" w:val="clear"/>
        </w:rPr>
      </w:pPr>
      <w:r>
        <w:rPr>
          <w:shd w:fill="FFFFFF" w:val="clear"/>
        </w:rPr>
        <w:t>Serão formalizadas tantas Atas de Registro de Preços quantas forem necessárias para o registro de todos os itens constantes no Termo de Referência, com a indicação do licitante vencedor, a descrição do(s) item(ns), as respectivas quantidades, preços registrados e demais condições.</w:t>
      </w:r>
    </w:p>
    <w:p>
      <w:pPr>
        <w:pStyle w:val="Nivel2"/>
        <w:numPr>
          <w:ilvl w:val="1"/>
          <w:numId w:val="1"/>
        </w:numPr>
        <w:ind w:left="0" w:hanging="0"/>
        <w:rPr>
          <w:shd w:fill="FFFFFF" w:val="clear"/>
        </w:rPr>
      </w:pPr>
      <w:r>
        <w:rPr>
          <w:shd w:fill="FFFFFF" w:val="clear"/>
        </w:rPr>
        <w:t>O preço registrado, com a indicação dos fornecedores, será divulgado no PNCP e disponibilizado durante a vigência da ata de registro de preços.</w:t>
      </w:r>
    </w:p>
    <w:p>
      <w:pPr>
        <w:pStyle w:val="Nivel2"/>
        <w:numPr>
          <w:ilvl w:val="1"/>
          <w:numId w:val="1"/>
        </w:numPr>
        <w:ind w:left="0" w:hanging="0"/>
        <w:rPr>
          <w:shd w:fill="FFFFFF" w:val="clear"/>
        </w:rPr>
      </w:pPr>
      <w:r>
        <w:rPr>
          <w:shd w:fill="FFFFFF" w:val="clear"/>
        </w:rPr>
        <w:t>A existência de preços registrados implicará compromisso de fornecimento nas condições estabelecidas, mas não obrigará a Administração a contratar, facultada a realização de licitação específica para a aquisição pretendida, desde que devidamente justificada.</w:t>
      </w:r>
    </w:p>
    <w:p>
      <w:pPr>
        <w:pStyle w:val="Nivel2"/>
        <w:numPr>
          <w:ilvl w:val="1"/>
          <w:numId w:val="1"/>
        </w:numPr>
        <w:ind w:left="0" w:hanging="0"/>
        <w:rPr>
          <w:shd w:fill="FFFFFF" w:val="clear"/>
        </w:rPr>
      </w:pPr>
      <w:r>
        <w:rPr>
          <w:shd w:fill="FFFFFF" w:val="clear"/>
        </w:rPr>
        <w:t>Na hipótese de o convocado não assinar a ata de registro de preços no prazo e nas condições estabelecidas, fica facultado à Administração convocar os licitantes remanescentes do cadastro de reserva, na ordem de classificação, para fazê-lo em igual prazo e nas condições propostas pelo primeiro classificado.</w:t>
      </w:r>
    </w:p>
    <w:p>
      <w:pPr>
        <w:pStyle w:val="Nivel01"/>
        <w:numPr>
          <w:ilvl w:val="0"/>
          <w:numId w:val="1"/>
        </w:numPr>
        <w:rPr>
          <w:shd w:fill="FFFFFF" w:val="clear"/>
        </w:rPr>
      </w:pPr>
      <w:bookmarkStart w:id="52" w:name="_Toc135469232"/>
      <w:r>
        <w:rPr>
          <w:shd w:fill="FFFFFF" w:val="clear"/>
        </w:rPr>
        <w:t>DA FORMAÇÃO DO CADASTRO DE RESERVA</w:t>
      </w:r>
      <w:bookmarkEnd w:id="52"/>
      <w:r>
        <w:rPr>
          <w:shd w:fill="FFFFFF" w:val="clear"/>
        </w:rPr>
        <w:t xml:space="preserve"> </w:t>
      </w:r>
    </w:p>
    <w:p>
      <w:pPr>
        <w:pStyle w:val="Nivel2"/>
        <w:numPr>
          <w:ilvl w:val="1"/>
          <w:numId w:val="6"/>
        </w:numPr>
        <w:rPr>
          <w:shd w:fill="FFFFFF" w:val="clear"/>
        </w:rPr>
      </w:pPr>
      <w:r>
        <w:rPr>
          <w:shd w:fill="FFFFFF" w:val="clear"/>
        </w:rPr>
        <w:t>Após a homologação da licitação, será incluído na ata, na forma de anexo, o registro:.</w:t>
      </w:r>
    </w:p>
    <w:p>
      <w:pPr>
        <w:pStyle w:val="Nivel3"/>
        <w:numPr>
          <w:ilvl w:val="2"/>
          <w:numId w:val="1"/>
        </w:numPr>
        <w:ind w:left="1638" w:hanging="504"/>
        <w:rPr>
          <w:shd w:fill="FFFFFF" w:val="clear"/>
        </w:rPr>
      </w:pPr>
      <w:r>
        <w:rPr>
          <w:shd w:fill="FFFFFF" w:val="clear"/>
        </w:rPr>
        <w:t xml:space="preserve">dos licitantes </w:t>
      </w:r>
      <w:bookmarkStart w:id="53" w:name="_Hlk132991372"/>
      <w:r>
        <w:rPr>
          <w:shd w:fill="FFFFFF" w:val="clear"/>
        </w:rPr>
        <w:t xml:space="preserve">que </w:t>
      </w:r>
      <w:bookmarkStart w:id="54" w:name="_Hlk132989696"/>
      <w:r>
        <w:rPr>
          <w:shd w:fill="FFFFFF" w:val="clear"/>
        </w:rPr>
        <w:t>aceitarem cotar o objeto com preço igual ao do adjudicatári</w:t>
      </w:r>
      <w:bookmarkEnd w:id="53"/>
      <w:r>
        <w:rPr>
          <w:shd w:fill="FFFFFF" w:val="clear"/>
        </w:rPr>
        <w:t>o</w:t>
      </w:r>
      <w:bookmarkEnd w:id="54"/>
      <w:r>
        <w:rPr>
          <w:shd w:fill="FFFFFF" w:val="clear"/>
        </w:rPr>
        <w:t xml:space="preserve">, observada a classificação na licitação; e </w:t>
      </w:r>
    </w:p>
    <w:p>
      <w:pPr>
        <w:pStyle w:val="Nivel3"/>
        <w:numPr>
          <w:ilvl w:val="2"/>
          <w:numId w:val="1"/>
        </w:numPr>
        <w:ind w:left="1638" w:hanging="504"/>
        <w:rPr>
          <w:shd w:fill="FFFFFF" w:val="clear"/>
        </w:rPr>
      </w:pPr>
      <w:r>
        <w:rPr>
          <w:shd w:fill="FFFFFF" w:val="clear"/>
        </w:rPr>
        <w:t>dos licitantes que mantiverem sua proposta original</w:t>
      </w:r>
    </w:p>
    <w:p>
      <w:pPr>
        <w:pStyle w:val="Nivel2"/>
        <w:numPr>
          <w:ilvl w:val="1"/>
          <w:numId w:val="1"/>
        </w:numPr>
        <w:ind w:left="999" w:hanging="432"/>
        <w:rPr>
          <w:shd w:fill="FFFFFF" w:val="clear"/>
        </w:rPr>
      </w:pPr>
      <w:r>
        <w:rPr>
          <w:shd w:fill="FFFFFF" w:val="clear"/>
        </w:rPr>
        <w:t xml:space="preserve">          </w:t>
      </w:r>
      <w:commentRangeStart w:id="1"/>
      <w:r>
        <w:rPr>
          <w:shd w:fill="FFFFFF" w:val="clear"/>
        </w:rPr>
        <w:t>Será respeitada, nas contratações, a ordem de classificação dos licitantes ou fornecedores registrados na ata</w:t>
      </w:r>
      <w:r>
        <w:rPr>
          <w:shd w:fill="FFFFFF" w:val="clear"/>
        </w:rPr>
      </w:r>
      <w:commentRangeEnd w:id="1"/>
      <w:r>
        <w:commentReference w:id="1"/>
      </w:r>
      <w:r>
        <w:rPr>
          <w:shd w:fill="FFFFFF" w:val="clear"/>
        </w:rPr>
        <w:t>.</w:t>
      </w:r>
    </w:p>
    <w:p>
      <w:pPr>
        <w:pStyle w:val="Nivel3"/>
        <w:numPr>
          <w:ilvl w:val="2"/>
          <w:numId w:val="7"/>
        </w:numPr>
        <w:rPr>
          <w:shd w:fill="FFFFFF" w:val="clear"/>
        </w:rPr>
      </w:pPr>
      <w:r>
        <w:rPr>
          <w:shd w:fill="FFFFFF" w:val="clear"/>
        </w:rPr>
        <w:t>A apresentação de novas propostas na forma deste item não prejudicará o resultado do certame em relação ao licitante mais bem classificado.</w:t>
      </w:r>
    </w:p>
    <w:p>
      <w:pPr>
        <w:pStyle w:val="Nivel3"/>
        <w:numPr>
          <w:ilvl w:val="2"/>
          <w:numId w:val="8"/>
        </w:numPr>
        <w:rPr>
          <w:shd w:fill="FFFFFF" w:val="clear"/>
        </w:rPr>
      </w:pPr>
      <w:commentRangeStart w:id="2"/>
      <w:r>
        <w:rPr>
          <w:shd w:fill="FFFFFF" w:val="clear"/>
        </w:rPr>
        <w:t>Para fins da ordem de classificação, os licitantes ou fornecedores que aceitarem cotar o objeto com preço igual ao do adjudicatário antecederão aqueles que mantiverem sua proposta original.</w:t>
      </w:r>
      <w:commentRangeEnd w:id="2"/>
      <w:r>
        <w:commentReference w:id="2"/>
      </w:r>
      <w:r>
        <w:rPr>
          <w:shd w:fill="FFFFFF" w:val="clear"/>
        </w:rPr>
      </w:r>
    </w:p>
    <w:p>
      <w:pPr>
        <w:pStyle w:val="Nivel2"/>
        <w:numPr>
          <w:ilvl w:val="1"/>
          <w:numId w:val="1"/>
        </w:numPr>
        <w:ind w:left="0" w:hanging="0"/>
        <w:rPr>
          <w:shd w:fill="FFFFFF" w:val="clear"/>
        </w:rPr>
      </w:pPr>
      <w:r>
        <w:rPr>
          <w:color w:val="FF0000"/>
          <w:shd w:fill="FFFFFF" w:val="clear"/>
        </w:rPr>
        <w:t xml:space="preserve"> </w:t>
      </w:r>
      <w:r>
        <w:rPr>
          <w:shd w:fill="FFFFFF" w:val="clear"/>
        </w:rPr>
        <w:t>A habilitação dos licitantes que comporão o cadastro de reserva será efetuada quando houver necessidade de contratação dos licitantes remanescentes, nas seguintes hipóteses:</w:t>
      </w:r>
    </w:p>
    <w:p>
      <w:pPr>
        <w:pStyle w:val="Nivel3"/>
        <w:numPr>
          <w:ilvl w:val="2"/>
          <w:numId w:val="1"/>
        </w:numPr>
        <w:ind w:left="284" w:hanging="0"/>
        <w:rPr>
          <w:shd w:fill="FFFFFF" w:val="clear"/>
        </w:rPr>
      </w:pPr>
      <w:r>
        <w:rPr>
          <w:shd w:fill="FFFFFF" w:val="clear"/>
        </w:rPr>
        <w:t xml:space="preserve"> </w:t>
      </w:r>
      <w:r>
        <w:rPr>
          <w:shd w:fill="FFFFFF" w:val="clear"/>
        </w:rPr>
        <w:t>quando o licitante vencedor não assinar a ata de registro de preços no prazo e nas condições estabelecidos no edital; ou</w:t>
      </w:r>
    </w:p>
    <w:p>
      <w:pPr>
        <w:pStyle w:val="Nivel3"/>
        <w:numPr>
          <w:ilvl w:val="2"/>
          <w:numId w:val="1"/>
        </w:numPr>
        <w:ind w:left="284" w:hanging="0"/>
        <w:rPr>
          <w:shd w:fill="FFFFFF" w:val="clear"/>
        </w:rPr>
      </w:pPr>
      <w:r>
        <w:rPr>
          <w:shd w:fill="FFFFFF" w:val="clear"/>
        </w:rPr>
        <w:t>quando houver o cancelamento do registro do fornecedor ou do registro de preços, nas hipóteses previstas nos art. 28 e art. 29 do Decreto nº 11.462/23.</w:t>
      </w:r>
    </w:p>
    <w:p>
      <w:pPr>
        <w:pStyle w:val="Nivel2"/>
        <w:numPr>
          <w:ilvl w:val="0"/>
          <w:numId w:val="0"/>
        </w:numPr>
        <w:ind w:left="4969" w:hanging="432"/>
        <w:rPr>
          <w:rFonts w:eastAsia="Times New Roman"/>
          <w:i/>
          <w:i/>
          <w:color w:val="000000" w:themeColor="text1"/>
          <w:shd w:fill="FFFFFF" w:val="clear"/>
        </w:rPr>
      </w:pPr>
      <w:r>
        <w:rPr>
          <w:rFonts w:eastAsia="Times New Roman"/>
          <w:i/>
          <w:color w:val="000000" w:themeColor="text1"/>
          <w:shd w:fill="FFFFFF" w:val="clear"/>
        </w:rPr>
      </w:r>
    </w:p>
    <w:p>
      <w:pPr>
        <w:pStyle w:val="Nivel2"/>
        <w:numPr>
          <w:ilvl w:val="1"/>
          <w:numId w:val="1"/>
        </w:numPr>
        <w:ind w:left="0" w:hanging="0"/>
        <w:rPr>
          <w:shd w:fill="FFFFFF" w:val="clear"/>
        </w:rPr>
      </w:pPr>
      <w:r>
        <w:rPr>
          <w:shd w:fill="FFFFFF" w:val="clear"/>
        </w:rPr>
        <w:t xml:space="preserve">Na hipótese de </w:t>
      </w:r>
      <w:commentRangeStart w:id="3"/>
      <w:r>
        <w:rPr>
          <w:shd w:fill="FFFFFF" w:val="clear"/>
        </w:rPr>
        <w:t xml:space="preserve">nenhum dos licitantes </w:t>
      </w:r>
      <w:r>
        <w:rPr>
          <w:shd w:fill="FFFFFF" w:val="clear"/>
        </w:rPr>
      </w:r>
      <w:commentRangeEnd w:id="3"/>
      <w:r>
        <w:commentReference w:id="3"/>
      </w:r>
      <w:r>
        <w:rPr>
          <w:shd w:fill="FFFFFF" w:val="clear"/>
        </w:rPr>
        <w:t>que aceitaram cotar o objeto com preço igual ao do adjudicatário concordar com a contratação nos termos em igual prazo e nas condições propostas pelo primeiro classificado, a Administração, observados o valor estimado e a sua eventual atualização na forma prevista no edital, poderá:</w:t>
      </w:r>
    </w:p>
    <w:p>
      <w:pPr>
        <w:pStyle w:val="Nivel3"/>
        <w:numPr>
          <w:ilvl w:val="2"/>
          <w:numId w:val="1"/>
        </w:numPr>
        <w:ind w:left="284" w:hanging="0"/>
        <w:rPr>
          <w:shd w:fill="FFFFFF" w:val="clear"/>
        </w:rPr>
      </w:pPr>
      <w:r>
        <w:rPr>
          <w:shd w:fill="FFFFFF" w:val="clear"/>
        </w:rPr>
        <w:t xml:space="preserve"> </w:t>
      </w:r>
      <w:r>
        <w:rPr>
          <w:shd w:fill="FFFFFF" w:val="clear"/>
        </w:rPr>
        <w:t>convocar os licitantes que mantiveram sua proposta original para negociação, na ordem de classificação, com vistas à obtenção de preço melhor, mesmo que acima do preço do adjudicatário; ou</w:t>
      </w:r>
    </w:p>
    <w:p>
      <w:pPr>
        <w:pStyle w:val="Nivel3"/>
        <w:numPr>
          <w:ilvl w:val="2"/>
          <w:numId w:val="1"/>
        </w:numPr>
        <w:ind w:left="284" w:hanging="0"/>
        <w:rPr>
          <w:shd w:fill="FFFFFF" w:val="clear"/>
        </w:rPr>
      </w:pPr>
      <w:r>
        <w:rPr>
          <w:shd w:fill="FFFFFF" w:val="clear"/>
        </w:rPr>
        <w:t xml:space="preserve"> </w:t>
      </w:r>
      <w:r>
        <w:rPr>
          <w:shd w:fill="FFFFFF" w:val="clear"/>
        </w:rPr>
        <w:t>adjudicar e firmar o contrato nas condições ofertadas pelos licitantes remanescentes, observada a ordem de classificação, quando frustrada a negociação de melhor condição.</w:t>
      </w:r>
    </w:p>
    <w:p>
      <w:pPr>
        <w:pStyle w:val="Nivel01"/>
        <w:numPr>
          <w:ilvl w:val="0"/>
          <w:numId w:val="1"/>
        </w:numPr>
        <w:rPr/>
      </w:pPr>
      <w:bookmarkStart w:id="55" w:name="_Toc135469233"/>
      <w:r>
        <w:rPr/>
        <w:t>DOS RECURSOS</w:t>
      </w:r>
      <w:bookmarkEnd w:id="55"/>
    </w:p>
    <w:p>
      <w:pPr>
        <w:pStyle w:val="Nivel2"/>
        <w:numPr>
          <w:ilvl w:val="1"/>
          <w:numId w:val="1"/>
        </w:numPr>
        <w:ind w:left="0" w:hanging="0"/>
        <w:rPr/>
      </w:pPr>
      <w:r>
        <w:rPr/>
        <w:t xml:space="preserve">A interposição de recurso referente ao julgamento das propostas, à habilitação ou inabilitação de licitantes, à anulação ou revogação da licitação, observará o disposto no </w:t>
      </w:r>
      <w:r>
        <w:fldChar w:fldCharType="begin"/>
      </w:r>
      <w:r>
        <w:rPr>
          <w:rStyle w:val="LinkdaInternet"/>
          <w:u w:val="none"/>
          <w:color w:val="000000"/>
        </w:rPr>
        <w:instrText> HYPERLINK "http://www.planalto.gov.br/ccivil_03/_ato2019-2022/2021/lei/L14133.htm" \l "art165"</w:instrText>
      </w:r>
      <w:r>
        <w:rPr>
          <w:rStyle w:val="LinkdaInternet"/>
          <w:u w:val="none"/>
          <w:color w:val="000000"/>
        </w:rPr>
        <w:fldChar w:fldCharType="separate"/>
      </w:r>
      <w:r>
        <w:rPr>
          <w:rStyle w:val="LinkdaInternet"/>
          <w:color w:val="000000"/>
          <w:u w:val="none"/>
        </w:rPr>
        <w:t>art. 165 da Lei nº 14.133, de 2021</w:t>
      </w:r>
      <w:r>
        <w:rPr>
          <w:rStyle w:val="LinkdaInternet"/>
          <w:u w:val="none"/>
          <w:color w:val="000000"/>
        </w:rPr>
        <w:fldChar w:fldCharType="end"/>
      </w:r>
      <w:r>
        <w:rPr/>
        <w:t>.</w:t>
      </w:r>
    </w:p>
    <w:p>
      <w:pPr>
        <w:pStyle w:val="Nivel2"/>
        <w:numPr>
          <w:ilvl w:val="1"/>
          <w:numId w:val="1"/>
        </w:numPr>
        <w:ind w:left="0" w:hanging="0"/>
        <w:rPr/>
      </w:pPr>
      <w:r>
        <w:rPr/>
        <w:t>O prazo recursal é de 3 (três) dias úteis, contados da data de intimação ou de lavratura da ata.</w:t>
      </w:r>
    </w:p>
    <w:p>
      <w:pPr>
        <w:pStyle w:val="Nivel2"/>
        <w:numPr>
          <w:ilvl w:val="1"/>
          <w:numId w:val="1"/>
        </w:numPr>
        <w:ind w:left="0" w:hanging="0"/>
        <w:rPr/>
      </w:pPr>
      <w:r>
        <w:rPr/>
        <w:t>Quando o recurso apresentado impugnar o julgamento das propostas ou o ato de habilitação ou inabilitação do licitante:</w:t>
      </w:r>
    </w:p>
    <w:p>
      <w:pPr>
        <w:pStyle w:val="Nivel3"/>
        <w:numPr>
          <w:ilvl w:val="2"/>
          <w:numId w:val="1"/>
        </w:numPr>
        <w:ind w:left="284" w:hanging="0"/>
        <w:rPr/>
      </w:pPr>
      <w:r>
        <w:rPr/>
        <w:t>a intenção de recorrer deverá ser manifestada imediatamente, sob pena de preclusão;</w:t>
      </w:r>
    </w:p>
    <w:p>
      <w:pPr>
        <w:pStyle w:val="Nivel3"/>
        <w:numPr>
          <w:ilvl w:val="2"/>
          <w:numId w:val="1"/>
        </w:numPr>
        <w:ind w:left="284" w:hanging="0"/>
        <w:rPr>
          <w:b/>
          <w:b/>
          <w:bCs/>
          <w:color w:val="000000"/>
          <w:shd w:fill="FFFFFF" w:val="clear"/>
        </w:rPr>
      </w:pPr>
      <w:bookmarkStart w:id="56" w:name="_Hlk135318381"/>
      <w:r>
        <w:rPr>
          <w:b/>
          <w:bCs/>
          <w:color w:val="000000"/>
          <w:shd w:fill="FFFFFF" w:val="clear"/>
        </w:rPr>
        <w:t>o prazo para a manifestação da intenção de recorrer não será inferior a 10 (dez) minutos.</w:t>
      </w:r>
      <w:bookmarkStart w:id="57" w:name="_Hlk135315794"/>
      <w:bookmarkEnd w:id="56"/>
      <w:bookmarkEnd w:id="57"/>
    </w:p>
    <w:p>
      <w:pPr>
        <w:pStyle w:val="Nivel3"/>
        <w:numPr>
          <w:ilvl w:val="2"/>
          <w:numId w:val="1"/>
        </w:numPr>
        <w:ind w:left="284" w:hanging="0"/>
        <w:rPr/>
      </w:pPr>
      <w:r>
        <w:rPr/>
        <w:t>o prazo para apresentação das razões recursais será iniciado na data de intimação ou de lavratura da ata de habilitação ou inabilitação;</w:t>
      </w:r>
    </w:p>
    <w:p>
      <w:pPr>
        <w:pStyle w:val="Nivel3"/>
        <w:numPr>
          <w:ilvl w:val="2"/>
          <w:numId w:val="1"/>
        </w:numPr>
        <w:ind w:left="284" w:hanging="0"/>
        <w:rPr/>
      </w:pPr>
      <w:r>
        <w:rPr/>
        <w:t>na hipótese de adoção da inversão de fases prevista no </w:t>
      </w:r>
      <w:r>
        <w:fldChar w:fldCharType="begin"/>
      </w:r>
      <w:r>
        <w:rPr>
          <w:rStyle w:val="LinkdaInternet"/>
          <w:u w:val="none"/>
          <w:color w:val="000000"/>
        </w:rPr>
        <w:instrText> HYPERLINK "http://www.planalto.gov.br/ccivil_03/_ato2019-2022/2021/lei/L14133.htm" \l "art17§1"</w:instrText>
      </w:r>
      <w:r>
        <w:rPr>
          <w:rStyle w:val="LinkdaInternet"/>
          <w:u w:val="none"/>
          <w:color w:val="000000"/>
        </w:rPr>
        <w:fldChar w:fldCharType="separate"/>
      </w:r>
      <w:r>
        <w:rPr>
          <w:rStyle w:val="LinkdaInternet"/>
          <w:color w:val="000000"/>
          <w:u w:val="none"/>
        </w:rPr>
        <w:t>§ 1º do art. 17 da Lei nº 14.133, de 2021</w:t>
      </w:r>
      <w:r>
        <w:rPr>
          <w:rStyle w:val="LinkdaInternet"/>
          <w:u w:val="none"/>
          <w:color w:val="000000"/>
        </w:rPr>
        <w:fldChar w:fldCharType="end"/>
      </w:r>
      <w:r>
        <w:rPr/>
        <w:t>, o prazo para apresentação das razões recursais será iniciado na data de intimação da ata de julgamento.</w:t>
      </w:r>
    </w:p>
    <w:p>
      <w:pPr>
        <w:pStyle w:val="Nivel2"/>
        <w:numPr>
          <w:ilvl w:val="1"/>
          <w:numId w:val="1"/>
        </w:numPr>
        <w:ind w:left="0" w:hanging="0"/>
        <w:rPr/>
      </w:pPr>
      <w:r>
        <w:rPr/>
        <w:t>Os recursos deverão ser encaminhados em campo próprio do sistema.</w:t>
      </w:r>
    </w:p>
    <w:p>
      <w:pPr>
        <w:pStyle w:val="Nivel2"/>
        <w:numPr>
          <w:ilvl w:val="1"/>
          <w:numId w:val="1"/>
        </w:numPr>
        <w:ind w:left="0" w:hanging="0"/>
        <w:rPr/>
      </w:pPr>
      <w:r>
        <w:rPr/>
        <w:t>O recurso será dirigido à autoridade que tiver editado o ato ou proferido a decisão recorrida, a qual poderá reconsiderar sua decisão no prazo de 3 (três) dias úteis, ou, nesse mesmo prazo, encaminhar recurso para a autoridade superior, a qual deverá proferir sua decisão no prazo de 10 (dez) dias úteis, contado do recebimento dos autos.</w:t>
      </w:r>
    </w:p>
    <w:p>
      <w:pPr>
        <w:pStyle w:val="Nivel2"/>
        <w:numPr>
          <w:ilvl w:val="1"/>
          <w:numId w:val="1"/>
        </w:numPr>
        <w:ind w:left="0" w:hanging="0"/>
        <w:rPr/>
      </w:pPr>
      <w:r>
        <w:rPr/>
        <w:t xml:space="preserve">Os recursos interpostos fora do prazo não serão conhecidos. </w:t>
      </w:r>
    </w:p>
    <w:p>
      <w:pPr>
        <w:pStyle w:val="Nivel2"/>
        <w:numPr>
          <w:ilvl w:val="1"/>
          <w:numId w:val="1"/>
        </w:numPr>
        <w:ind w:left="0" w:hanging="0"/>
        <w:rPr/>
      </w:pPr>
      <w:r>
        <w:rPr/>
        <w:t>O prazo para apresentação de contrarrazões ao recurso pelos demais licitantes será de 3 (três) dias úteis, contados da data da intimação pessoal ou da divulgação da interposição do recurso, assegurada a vista imediata dos elementos indispensáveis à defesa de seus interesses.</w:t>
      </w:r>
    </w:p>
    <w:p>
      <w:pPr>
        <w:pStyle w:val="Nivel2"/>
        <w:numPr>
          <w:ilvl w:val="1"/>
          <w:numId w:val="1"/>
        </w:numPr>
        <w:ind w:left="0" w:hanging="0"/>
        <w:rPr/>
      </w:pPr>
      <w:r>
        <w:rPr/>
        <w:t xml:space="preserve">O recurso e o pedido de reconsideração terão efeito suspensivo do ato ou da decisão recorrida até que sobrevenha decisão final da autoridade competente. </w:t>
      </w:r>
    </w:p>
    <w:p>
      <w:pPr>
        <w:pStyle w:val="Nivel2"/>
        <w:numPr>
          <w:ilvl w:val="1"/>
          <w:numId w:val="1"/>
        </w:numPr>
        <w:ind w:left="0" w:hanging="0"/>
        <w:rPr/>
      </w:pPr>
      <w:r>
        <w:rPr/>
        <w:t xml:space="preserve">O acolhimento do recurso invalida tão somente os atos insuscetíveis de aproveitamento. </w:t>
      </w:r>
    </w:p>
    <w:p>
      <w:pPr>
        <w:pStyle w:val="Nivel2"/>
        <w:numPr>
          <w:ilvl w:val="1"/>
          <w:numId w:val="1"/>
        </w:numPr>
        <w:ind w:left="0" w:hanging="0"/>
        <w:rPr/>
      </w:pPr>
      <w:r>
        <w:rPr/>
        <w:t xml:space="preserve">Os autos do processo permanecerão com vista franqueada aos interessados no sítio eletrônico </w:t>
      </w:r>
      <w:r>
        <w:rPr>
          <w:color w:val="auto"/>
        </w:rPr>
        <w:t xml:space="preserve">pelo seguinte meio: </w:t>
      </w:r>
      <w:r>
        <w:rPr>
          <w:b/>
          <w:bCs/>
          <w:color w:val="auto"/>
        </w:rPr>
        <w:t>e-mail:</w:t>
      </w:r>
      <w:r>
        <w:rPr>
          <w:color w:val="auto"/>
        </w:rPr>
        <w:t xml:space="preserve"> </w:t>
      </w:r>
      <w:hyperlink r:id="rId24">
        <w:r>
          <w:rPr>
            <w:rStyle w:val="LinkdaInternet"/>
            <w:color w:val="auto"/>
          </w:rPr>
          <w:t>licitaparque7@gmail.com</w:t>
        </w:r>
      </w:hyperlink>
      <w:r>
        <w:rPr>
          <w:rStyle w:val="LinkdaInternet"/>
          <w:color w:val="auto"/>
        </w:rPr>
        <w:t xml:space="preserve"> .</w:t>
      </w:r>
    </w:p>
    <w:p>
      <w:pPr>
        <w:pStyle w:val="Nivel01"/>
        <w:numPr>
          <w:ilvl w:val="0"/>
          <w:numId w:val="1"/>
        </w:numPr>
        <w:rPr/>
      </w:pPr>
      <w:r>
        <w:rPr/>
        <w:t>DAS INFRAÇÕES ADMINISTRATIVAS E SANÇÕES</w:t>
      </w:r>
    </w:p>
    <w:p>
      <w:pPr>
        <w:pStyle w:val="Nivel2"/>
        <w:numPr>
          <w:ilvl w:val="1"/>
          <w:numId w:val="1"/>
        </w:numPr>
        <w:ind w:left="0" w:hanging="0"/>
        <w:rPr/>
      </w:pPr>
      <w:r>
        <w:rPr/>
        <w:t xml:space="preserve">Comete infração administrativa, nos termos da lei, o licitante que, com dolo ou culpa: </w:t>
      </w:r>
    </w:p>
    <w:p>
      <w:pPr>
        <w:pStyle w:val="Nivel3"/>
        <w:numPr>
          <w:ilvl w:val="2"/>
          <w:numId w:val="1"/>
        </w:numPr>
        <w:ind w:left="284" w:hanging="0"/>
        <w:rPr/>
      </w:pPr>
      <w:bookmarkStart w:id="58" w:name="_Ref114668085"/>
      <w:r>
        <w:rPr/>
        <w:t>deixar de entregar a documentação exigida para o certame ou não entregar qualquer documento que tenha sido solicitado pelo/a pregoeiro/a durante o certame;</w:t>
      </w:r>
      <w:bookmarkEnd w:id="58"/>
    </w:p>
    <w:p>
      <w:pPr>
        <w:pStyle w:val="Nivel3"/>
        <w:numPr>
          <w:ilvl w:val="2"/>
          <w:numId w:val="1"/>
        </w:numPr>
        <w:ind w:left="284" w:hanging="0"/>
        <w:rPr/>
      </w:pPr>
      <w:bookmarkStart w:id="59" w:name="_Ref114668108"/>
      <w:r>
        <w:rPr/>
        <w:t>Salvo em decorrência de fato superveniente devidamente justificado, não mantiver a proposta em especial quando:</w:t>
      </w:r>
      <w:bookmarkEnd w:id="59"/>
    </w:p>
    <w:p>
      <w:pPr>
        <w:pStyle w:val="Nivel4"/>
        <w:numPr>
          <w:ilvl w:val="3"/>
          <w:numId w:val="1"/>
        </w:numPr>
        <w:ind w:left="567" w:hanging="0"/>
        <w:rPr/>
      </w:pPr>
      <w:r>
        <w:rPr/>
        <w:t xml:space="preserve">não enviar a proposta adequada ao último lance ofertado ou após a negociação; </w:t>
      </w:r>
    </w:p>
    <w:p>
      <w:pPr>
        <w:pStyle w:val="Nivel4"/>
        <w:numPr>
          <w:ilvl w:val="3"/>
          <w:numId w:val="1"/>
        </w:numPr>
        <w:ind w:left="567" w:hanging="0"/>
        <w:rPr/>
      </w:pPr>
      <w:r>
        <w:rPr/>
        <w:t xml:space="preserve">recusar-se a enviar o detalhamento da proposta quando exigível; </w:t>
      </w:r>
    </w:p>
    <w:p>
      <w:pPr>
        <w:pStyle w:val="Nivel4"/>
        <w:numPr>
          <w:ilvl w:val="3"/>
          <w:numId w:val="1"/>
        </w:numPr>
        <w:ind w:left="567" w:hanging="0"/>
        <w:rPr/>
      </w:pPr>
      <w:r>
        <w:rPr/>
        <w:t xml:space="preserve">pedir para ser desclassificado quando encerrada a etapa competitiva; ou </w:t>
      </w:r>
    </w:p>
    <w:p>
      <w:pPr>
        <w:pStyle w:val="Nivel4"/>
        <w:numPr>
          <w:ilvl w:val="3"/>
          <w:numId w:val="1"/>
        </w:numPr>
        <w:ind w:left="567" w:hanging="0"/>
        <w:rPr/>
      </w:pPr>
      <w:r>
        <w:rPr/>
        <w:t>deixar de apresentar amostra;</w:t>
      </w:r>
    </w:p>
    <w:p>
      <w:pPr>
        <w:pStyle w:val="Nivel4"/>
        <w:numPr>
          <w:ilvl w:val="3"/>
          <w:numId w:val="1"/>
        </w:numPr>
        <w:ind w:left="567" w:hanging="0"/>
        <w:rPr/>
      </w:pPr>
      <w:r>
        <w:rPr/>
        <w:t xml:space="preserve">apresentar proposta ou amostra em desacordo com as especificações do edital; </w:t>
      </w:r>
    </w:p>
    <w:p>
      <w:pPr>
        <w:pStyle w:val="Nivel3"/>
        <w:numPr>
          <w:ilvl w:val="2"/>
          <w:numId w:val="1"/>
        </w:numPr>
        <w:ind w:left="284" w:hanging="0"/>
        <w:rPr/>
      </w:pPr>
      <w:bookmarkStart w:id="60" w:name="_Ref114668139"/>
      <w:r>
        <w:rPr/>
        <w:t>não celebrar o contrato ou não entregar a documentação exigida para a contratação, quando convocado dentro do prazo de validade de sua proposta;</w:t>
      </w:r>
      <w:bookmarkEnd w:id="60"/>
    </w:p>
    <w:p>
      <w:pPr>
        <w:pStyle w:val="Nivel4"/>
        <w:numPr>
          <w:ilvl w:val="3"/>
          <w:numId w:val="1"/>
        </w:numPr>
        <w:ind w:left="567" w:hanging="0"/>
        <w:rPr/>
      </w:pPr>
      <w:r>
        <w:rPr/>
        <w:t>recusar-se, sem justificativa, a assinar o contrato ou a ata de registro de preço, ou a aceitar ou retirar o instrumento equivalente no prazo estabelecido pela Administração;</w:t>
      </w:r>
    </w:p>
    <w:p>
      <w:pPr>
        <w:pStyle w:val="Nivel3"/>
        <w:numPr>
          <w:ilvl w:val="2"/>
          <w:numId w:val="1"/>
        </w:numPr>
        <w:ind w:left="284" w:hanging="0"/>
        <w:rPr/>
      </w:pPr>
      <w:bookmarkStart w:id="61" w:name="_Ref114668249"/>
      <w:r>
        <w:rPr/>
        <w:t>apresentar declaração ou documentação falsa exigida para o certame ou prestar declaração falsa durante a licitação</w:t>
      </w:r>
      <w:bookmarkEnd w:id="61"/>
    </w:p>
    <w:p>
      <w:pPr>
        <w:pStyle w:val="Nivel3"/>
        <w:numPr>
          <w:ilvl w:val="2"/>
          <w:numId w:val="1"/>
        </w:numPr>
        <w:ind w:left="284" w:hanging="0"/>
        <w:rPr/>
      </w:pPr>
      <w:bookmarkStart w:id="62" w:name="_Ref114668245"/>
      <w:r>
        <w:rPr/>
        <w:t>fraudar a licitação</w:t>
      </w:r>
      <w:bookmarkEnd w:id="62"/>
    </w:p>
    <w:p>
      <w:pPr>
        <w:pStyle w:val="Nivel3"/>
        <w:numPr>
          <w:ilvl w:val="2"/>
          <w:numId w:val="1"/>
        </w:numPr>
        <w:ind w:left="284" w:hanging="0"/>
        <w:rPr/>
      </w:pPr>
      <w:bookmarkStart w:id="63" w:name="_Ref114668247"/>
      <w:r>
        <w:rPr/>
        <w:t>comportar-se de modo inidôneo ou cometer fraude de qualquer natureza, em especial quando:</w:t>
      </w:r>
      <w:bookmarkEnd w:id="63"/>
    </w:p>
    <w:p>
      <w:pPr>
        <w:pStyle w:val="Nivel4"/>
        <w:numPr>
          <w:ilvl w:val="3"/>
          <w:numId w:val="1"/>
        </w:numPr>
        <w:ind w:left="567" w:hanging="0"/>
        <w:rPr/>
      </w:pPr>
      <w:r>
        <w:rPr/>
        <w:t xml:space="preserve">agir em conluio ou em desconformidade com a lei; </w:t>
      </w:r>
    </w:p>
    <w:p>
      <w:pPr>
        <w:pStyle w:val="Nivel4"/>
        <w:numPr>
          <w:ilvl w:val="3"/>
          <w:numId w:val="1"/>
        </w:numPr>
        <w:ind w:left="567" w:hanging="0"/>
        <w:rPr/>
      </w:pPr>
      <w:r>
        <w:rPr/>
        <w:t xml:space="preserve">induzir deliberadamente a erro no julgamento; </w:t>
      </w:r>
    </w:p>
    <w:p>
      <w:pPr>
        <w:pStyle w:val="Nivel4"/>
        <w:numPr>
          <w:ilvl w:val="3"/>
          <w:numId w:val="1"/>
        </w:numPr>
        <w:ind w:left="567" w:hanging="0"/>
        <w:rPr/>
      </w:pPr>
      <w:r>
        <w:rPr/>
        <w:t xml:space="preserve">apresentar amostra falsificada ou deteriorada; </w:t>
      </w:r>
    </w:p>
    <w:p>
      <w:pPr>
        <w:pStyle w:val="Nivel3"/>
        <w:numPr>
          <w:ilvl w:val="2"/>
          <w:numId w:val="1"/>
        </w:numPr>
        <w:ind w:left="284" w:hanging="0"/>
        <w:rPr/>
      </w:pPr>
      <w:bookmarkStart w:id="64" w:name="_Ref114668251"/>
      <w:r>
        <w:rPr/>
        <w:t>praticar atos ilícitos com vistas a frustrar os objetivos da licitação</w:t>
      </w:r>
      <w:bookmarkEnd w:id="64"/>
    </w:p>
    <w:p>
      <w:pPr>
        <w:pStyle w:val="Nivel3"/>
        <w:numPr>
          <w:ilvl w:val="2"/>
          <w:numId w:val="1"/>
        </w:numPr>
        <w:ind w:left="284" w:hanging="0"/>
        <w:rPr/>
      </w:pPr>
      <w:bookmarkStart w:id="65" w:name="_Ref114668252"/>
      <w:r>
        <w:rPr/>
        <w:t xml:space="preserve">praticar ato lesivo previsto no </w:t>
      </w:r>
      <w:r>
        <w:fldChar w:fldCharType="begin"/>
      </w:r>
      <w:r>
        <w:rPr>
          <w:rStyle w:val="LinkdaInternet"/>
          <w:u w:val="none"/>
          <w:color w:val="000000"/>
        </w:rPr>
        <w:instrText> HYPERLINK "https://www.planalto.gov.br/ccivil_03/_ato2011-2014/2013/lei/l12846.htm" \l "art5"</w:instrText>
      </w:r>
      <w:r>
        <w:rPr>
          <w:rStyle w:val="LinkdaInternet"/>
          <w:u w:val="none"/>
          <w:color w:val="000000"/>
        </w:rPr>
        <w:fldChar w:fldCharType="separate"/>
      </w:r>
      <w:r>
        <w:rPr>
          <w:rStyle w:val="LinkdaInternet"/>
          <w:color w:val="000000"/>
          <w:u w:val="none"/>
        </w:rPr>
        <w:t>art. 5º da Lei n.º 12.846, de 2013</w:t>
      </w:r>
      <w:r>
        <w:rPr>
          <w:rStyle w:val="LinkdaInternet"/>
          <w:u w:val="none"/>
          <w:color w:val="000000"/>
        </w:rPr>
        <w:fldChar w:fldCharType="end"/>
      </w:r>
      <w:r>
        <w:rPr/>
        <w:t>.</w:t>
      </w:r>
      <w:bookmarkStart w:id="66" w:name="_Hlk114652595"/>
      <w:bookmarkEnd w:id="65"/>
      <w:bookmarkEnd w:id="66"/>
    </w:p>
    <w:p>
      <w:pPr>
        <w:pStyle w:val="Nivel2"/>
        <w:numPr>
          <w:ilvl w:val="1"/>
          <w:numId w:val="1"/>
        </w:numPr>
        <w:ind w:left="0" w:hanging="0"/>
        <w:rPr/>
      </w:pPr>
      <w:r>
        <w:rPr/>
        <w:t xml:space="preserve">Com fulcro na </w:t>
      </w:r>
      <w:hyperlink r:id="rId25">
        <w:r>
          <w:rPr>
            <w:rStyle w:val="LinkdaInternet"/>
          </w:rPr>
          <w:t>Lei nº 14.133, de 2021</w:t>
        </w:r>
      </w:hyperlink>
      <w:r>
        <w:rPr/>
        <w:t xml:space="preserve">, a Administração poderá, garantida a prévia defesa, aplicar aos licitantes e/ou adjudicatários as seguintes sanções, sem prejuízo das responsabilidades civil e criminal: </w:t>
      </w:r>
    </w:p>
    <w:p>
      <w:pPr>
        <w:pStyle w:val="Nivel3"/>
        <w:numPr>
          <w:ilvl w:val="2"/>
          <w:numId w:val="1"/>
        </w:numPr>
        <w:ind w:left="284" w:hanging="0"/>
        <w:rPr/>
      </w:pPr>
      <w:r>
        <w:rPr/>
        <w:t xml:space="preserve">advertência; </w:t>
      </w:r>
    </w:p>
    <w:p>
      <w:pPr>
        <w:pStyle w:val="Nivel3"/>
        <w:numPr>
          <w:ilvl w:val="2"/>
          <w:numId w:val="1"/>
        </w:numPr>
        <w:ind w:left="284" w:hanging="0"/>
        <w:rPr/>
      </w:pPr>
      <w:r>
        <w:rPr/>
        <w:t>multa;</w:t>
      </w:r>
    </w:p>
    <w:p>
      <w:pPr>
        <w:pStyle w:val="Nivel3"/>
        <w:numPr>
          <w:ilvl w:val="2"/>
          <w:numId w:val="1"/>
        </w:numPr>
        <w:ind w:left="284" w:hanging="0"/>
        <w:rPr/>
      </w:pPr>
      <w:r>
        <w:rPr/>
        <w:t>impedimento de licitar e contratar e</w:t>
      </w:r>
    </w:p>
    <w:p>
      <w:pPr>
        <w:pStyle w:val="Nivel3"/>
        <w:numPr>
          <w:ilvl w:val="2"/>
          <w:numId w:val="1"/>
        </w:numPr>
        <w:ind w:left="284" w:hanging="0"/>
        <w:rPr/>
      </w:pPr>
      <w:r>
        <w:rPr/>
        <w:t>declaração de inidoneidade para licitar ou contratar, enquanto perdurarem os motivos determinantes da punição ou até que seja promovida sua reabilitação perante a própria autoridade que aplicou a penalidade.</w:t>
      </w:r>
    </w:p>
    <w:p>
      <w:pPr>
        <w:pStyle w:val="Nivel2"/>
        <w:numPr>
          <w:ilvl w:val="1"/>
          <w:numId w:val="1"/>
        </w:numPr>
        <w:ind w:left="0" w:hanging="0"/>
        <w:rPr/>
      </w:pPr>
      <w:r>
        <w:rPr/>
        <w:t>Na aplicação das sanções serão considerados:</w:t>
      </w:r>
    </w:p>
    <w:p>
      <w:pPr>
        <w:pStyle w:val="Nivel3"/>
        <w:numPr>
          <w:ilvl w:val="2"/>
          <w:numId w:val="1"/>
        </w:numPr>
        <w:ind w:left="284" w:hanging="0"/>
        <w:rPr/>
      </w:pPr>
      <w:r>
        <w:rPr/>
        <w:t>a natureza e a gravidade da infração cometida.</w:t>
      </w:r>
    </w:p>
    <w:p>
      <w:pPr>
        <w:pStyle w:val="Nivel3"/>
        <w:numPr>
          <w:ilvl w:val="2"/>
          <w:numId w:val="1"/>
        </w:numPr>
        <w:ind w:left="284" w:hanging="0"/>
        <w:rPr/>
      </w:pPr>
      <w:r>
        <w:rPr/>
        <w:t>as peculiaridades do caso concreto</w:t>
      </w:r>
    </w:p>
    <w:p>
      <w:pPr>
        <w:pStyle w:val="Nivel3"/>
        <w:numPr>
          <w:ilvl w:val="2"/>
          <w:numId w:val="1"/>
        </w:numPr>
        <w:ind w:left="284" w:hanging="0"/>
        <w:rPr/>
      </w:pPr>
      <w:r>
        <w:rPr/>
        <w:t>as circunstâncias agravantes ou atenuantes</w:t>
      </w:r>
    </w:p>
    <w:p>
      <w:pPr>
        <w:pStyle w:val="Nivel3"/>
        <w:numPr>
          <w:ilvl w:val="2"/>
          <w:numId w:val="1"/>
        </w:numPr>
        <w:ind w:left="284" w:hanging="0"/>
        <w:rPr/>
      </w:pPr>
      <w:r>
        <w:rPr/>
        <w:t>os danos que dela provierem para a Administração Pública</w:t>
      </w:r>
    </w:p>
    <w:p>
      <w:pPr>
        <w:pStyle w:val="Nivel3"/>
        <w:numPr>
          <w:ilvl w:val="2"/>
          <w:numId w:val="1"/>
        </w:numPr>
        <w:ind w:left="284" w:hanging="0"/>
        <w:rPr/>
      </w:pPr>
      <w:r>
        <w:rPr/>
        <w:t>a implantação ou o aperfeiçoamento de programa de integridade, conforme normas e orientações dos órgãos de controle.</w:t>
      </w:r>
    </w:p>
    <w:p>
      <w:pPr>
        <w:pStyle w:val="Nivel2"/>
        <w:numPr>
          <w:ilvl w:val="1"/>
          <w:numId w:val="1"/>
        </w:numPr>
        <w:ind w:left="0" w:hanging="0"/>
        <w:rPr/>
      </w:pPr>
      <w:r>
        <w:rPr/>
        <w:t xml:space="preserve">A multa será recolhida em percentual de 0,5% a 30% incidente sobre o valor do contrato licitado, recolhida no prazo máximo de </w:t>
      </w:r>
      <w:r>
        <w:rPr>
          <w:b/>
          <w:bCs/>
          <w:color w:val="auto"/>
        </w:rPr>
        <w:t>20 (vinte) dias</w:t>
      </w:r>
      <w:r>
        <w:rPr>
          <w:color w:val="FF0000"/>
        </w:rPr>
        <w:t xml:space="preserve"> </w:t>
      </w:r>
      <w:r>
        <w:rPr/>
        <w:t xml:space="preserve">úteis, a contar da comunicação oficial. </w:t>
      </w:r>
    </w:p>
    <w:p>
      <w:pPr>
        <w:pStyle w:val="Nivel3"/>
        <w:numPr>
          <w:ilvl w:val="2"/>
          <w:numId w:val="1"/>
        </w:numPr>
        <w:ind w:left="284" w:hanging="0"/>
        <w:rPr/>
      </w:pPr>
      <w:r>
        <w:rPr/>
        <w:t xml:space="preserve">Para as infrações previstas nos itens </w:t>
      </w:r>
      <w:r>
        <w:rPr/>
        <w:fldChar w:fldCharType="begin"/>
      </w:r>
      <w:r>
        <w:rPr/>
        <w:instrText> REF _Ref114668085 \r \h </w:instrText>
      </w:r>
      <w:r>
        <w:rPr/>
        <w:fldChar w:fldCharType="separate"/>
      </w:r>
      <w:r>
        <w:rPr/>
        <w:t>12.1.1.</w:t>
      </w:r>
      <w:r>
        <w:rPr/>
        <w:fldChar w:fldCharType="end"/>
      </w:r>
      <w:r>
        <w:rPr/>
        <w:t xml:space="preserve">, </w:t>
      </w:r>
      <w:r>
        <w:rPr/>
        <w:fldChar w:fldCharType="begin"/>
      </w:r>
      <w:r>
        <w:rPr/>
        <w:instrText> REF _Ref114668108 \r \h </w:instrText>
      </w:r>
      <w:r>
        <w:rPr/>
        <w:fldChar w:fldCharType="separate"/>
      </w:r>
      <w:r>
        <w:rPr/>
        <w:t>12.1.2.</w:t>
      </w:r>
      <w:r>
        <w:rPr/>
        <w:fldChar w:fldCharType="end"/>
      </w:r>
      <w:r>
        <w:rPr/>
        <w:t xml:space="preserve"> e </w:t>
      </w:r>
      <w:r>
        <w:rPr/>
        <w:fldChar w:fldCharType="begin"/>
      </w:r>
      <w:r>
        <w:rPr/>
        <w:instrText> REF _Ref114668139 \r \h </w:instrText>
      </w:r>
      <w:r>
        <w:rPr/>
        <w:fldChar w:fldCharType="separate"/>
      </w:r>
      <w:r>
        <w:rPr/>
        <w:t>12.1.3.</w:t>
      </w:r>
      <w:r>
        <w:rPr/>
        <w:fldChar w:fldCharType="end"/>
      </w:r>
      <w:r>
        <w:rPr/>
        <w:t>, a multa será de</w:t>
      </w:r>
      <w:r>
        <w:rPr>
          <w:b/>
          <w:bCs/>
        </w:rPr>
        <w:t xml:space="preserve"> </w:t>
      </w:r>
      <w:r>
        <w:rPr>
          <w:b/>
          <w:bCs/>
          <w:color w:val="FF0000"/>
        </w:rPr>
        <w:t xml:space="preserve">0,5% </w:t>
      </w:r>
      <w:r>
        <w:rPr>
          <w:b/>
          <w:bCs/>
        </w:rPr>
        <w:t xml:space="preserve">a </w:t>
      </w:r>
      <w:r>
        <w:rPr>
          <w:b/>
          <w:bCs/>
          <w:color w:val="FF0000"/>
        </w:rPr>
        <w:t>15%</w:t>
      </w:r>
      <w:r>
        <w:rPr>
          <w:color w:val="0000FF"/>
        </w:rPr>
        <w:t xml:space="preserve"> </w:t>
      </w:r>
      <w:r>
        <w:rPr/>
        <w:t>do valor do contrato licitado.</w:t>
      </w:r>
      <w:bookmarkStart w:id="67" w:name="_Hlk113876035"/>
      <w:bookmarkEnd w:id="67"/>
    </w:p>
    <w:p>
      <w:pPr>
        <w:pStyle w:val="Nivel3"/>
        <w:numPr>
          <w:ilvl w:val="2"/>
          <w:numId w:val="1"/>
        </w:numPr>
        <w:ind w:left="284" w:hanging="0"/>
        <w:rPr/>
      </w:pPr>
      <w:r>
        <w:rPr/>
        <w:t xml:space="preserve">Para as infrações previstas nos itens </w:t>
      </w:r>
      <w:r>
        <w:rPr/>
        <w:fldChar w:fldCharType="begin"/>
      </w:r>
      <w:r>
        <w:rPr/>
        <w:instrText> REF _Ref114668249 \r \h </w:instrText>
      </w:r>
      <w:r>
        <w:rPr/>
        <w:fldChar w:fldCharType="separate"/>
      </w:r>
      <w:r>
        <w:rPr/>
        <w:t>12.1.4.</w:t>
      </w:r>
      <w:r>
        <w:rPr/>
        <w:fldChar w:fldCharType="end"/>
      </w:r>
      <w:r>
        <w:rPr/>
        <w:t xml:space="preserve">, </w:t>
      </w:r>
      <w:r>
        <w:rPr/>
        <w:fldChar w:fldCharType="begin"/>
      </w:r>
      <w:r>
        <w:rPr/>
        <w:instrText> REF _Ref114668245 \r \h </w:instrText>
      </w:r>
      <w:r>
        <w:rPr/>
        <w:fldChar w:fldCharType="separate"/>
      </w:r>
      <w:r>
        <w:rPr/>
        <w:t>12.1.5.</w:t>
      </w:r>
      <w:r>
        <w:rPr/>
        <w:fldChar w:fldCharType="end"/>
      </w:r>
      <w:r>
        <w:rPr/>
        <w:t xml:space="preserve">, </w:t>
      </w:r>
      <w:r>
        <w:rPr/>
        <w:fldChar w:fldCharType="begin"/>
      </w:r>
      <w:r>
        <w:rPr/>
        <w:instrText> REF _Ref114668247 \r \h </w:instrText>
      </w:r>
      <w:r>
        <w:rPr/>
        <w:fldChar w:fldCharType="separate"/>
      </w:r>
      <w:r>
        <w:rPr/>
        <w:t>12.1.6.</w:t>
      </w:r>
      <w:r>
        <w:rPr/>
        <w:fldChar w:fldCharType="end"/>
      </w:r>
      <w:r>
        <w:rPr/>
        <w:t xml:space="preserve">, </w:t>
      </w:r>
      <w:r>
        <w:rPr/>
        <w:fldChar w:fldCharType="begin"/>
      </w:r>
      <w:r>
        <w:rPr/>
        <w:instrText> REF _Ref114668251 \r \h </w:instrText>
      </w:r>
      <w:r>
        <w:rPr/>
        <w:fldChar w:fldCharType="separate"/>
      </w:r>
      <w:r>
        <w:rPr/>
        <w:t>12.1.7.</w:t>
      </w:r>
      <w:r>
        <w:rPr/>
        <w:fldChar w:fldCharType="end"/>
      </w:r>
      <w:r>
        <w:rPr/>
        <w:t xml:space="preserve"> e </w:t>
      </w:r>
      <w:r>
        <w:rPr/>
        <w:fldChar w:fldCharType="begin"/>
      </w:r>
      <w:r>
        <w:rPr/>
        <w:instrText> REF _Ref114668252 \r \h </w:instrText>
      </w:r>
      <w:r>
        <w:rPr/>
        <w:fldChar w:fldCharType="separate"/>
      </w:r>
      <w:r>
        <w:rPr/>
        <w:t>12.1.8.</w:t>
      </w:r>
      <w:r>
        <w:rPr/>
        <w:fldChar w:fldCharType="end"/>
      </w:r>
      <w:r>
        <w:rPr/>
        <w:t xml:space="preserve">, a multa será de </w:t>
      </w:r>
      <w:r>
        <w:rPr>
          <w:b/>
          <w:bCs/>
          <w:color w:val="FF0000"/>
        </w:rPr>
        <w:t>15%</w:t>
      </w:r>
      <w:r>
        <w:rPr>
          <w:b/>
          <w:bCs/>
          <w:color w:val="0000FF"/>
        </w:rPr>
        <w:t xml:space="preserve"> </w:t>
      </w:r>
      <w:r>
        <w:rPr>
          <w:b/>
          <w:bCs/>
        </w:rPr>
        <w:t xml:space="preserve">a </w:t>
      </w:r>
      <w:r>
        <w:rPr>
          <w:b/>
          <w:bCs/>
          <w:color w:val="FF0000"/>
        </w:rPr>
        <w:t>30%</w:t>
      </w:r>
      <w:r>
        <w:rPr>
          <w:color w:val="0000FF"/>
        </w:rPr>
        <w:t xml:space="preserve"> </w:t>
      </w:r>
      <w:r>
        <w:rPr/>
        <w:t>do valor do contrato licitado.</w:t>
      </w:r>
    </w:p>
    <w:p>
      <w:pPr>
        <w:pStyle w:val="Nivel2"/>
        <w:numPr>
          <w:ilvl w:val="1"/>
          <w:numId w:val="1"/>
        </w:numPr>
        <w:ind w:left="0" w:hanging="0"/>
        <w:rPr/>
      </w:pPr>
      <w:r>
        <w:rPr/>
        <w:t>As sanções de advertência, impedimento de licitar e contratar e declaração de inidoneidade para licitar ou contratar poderão ser aplicadas, cumulativamente ou não, à penalidade de multa.</w:t>
      </w:r>
    </w:p>
    <w:p>
      <w:pPr>
        <w:pStyle w:val="Nivel2"/>
        <w:numPr>
          <w:ilvl w:val="1"/>
          <w:numId w:val="1"/>
        </w:numPr>
        <w:ind w:left="0" w:hanging="0"/>
        <w:rPr/>
      </w:pPr>
      <w:r>
        <w:rPr/>
        <w:t>Na aplicação da sanção de multa será facultada a defesa do interessado no prazo de 15 (quinze) dias úteis, contado da data de sua intimação.</w:t>
      </w:r>
    </w:p>
    <w:p>
      <w:pPr>
        <w:pStyle w:val="Nivel2"/>
        <w:numPr>
          <w:ilvl w:val="1"/>
          <w:numId w:val="1"/>
        </w:numPr>
        <w:ind w:left="0" w:hanging="0"/>
        <w:rPr/>
      </w:pPr>
      <w:r>
        <w:rPr/>
        <w:t xml:space="preserve">A sanção de impedimento de licitar e contratar será aplicada ao responsável em decorrência das infrações administrativas relacionadas nos itens </w:t>
      </w:r>
      <w:r>
        <w:rPr/>
        <w:fldChar w:fldCharType="begin"/>
      </w:r>
      <w:r>
        <w:rPr/>
        <w:instrText> REF _Ref114668085 \r \h </w:instrText>
      </w:r>
      <w:r>
        <w:rPr/>
        <w:fldChar w:fldCharType="separate"/>
      </w:r>
      <w:r>
        <w:rPr/>
        <w:t>12.1.1.</w:t>
      </w:r>
      <w:r>
        <w:rPr/>
        <w:fldChar w:fldCharType="end"/>
      </w:r>
      <w:r>
        <w:rPr/>
        <w:t xml:space="preserve">, </w:t>
      </w:r>
      <w:r>
        <w:rPr/>
        <w:fldChar w:fldCharType="begin"/>
      </w:r>
      <w:r>
        <w:rPr/>
        <w:instrText> REF _Ref114668108 \r \h </w:instrText>
      </w:r>
      <w:r>
        <w:rPr/>
        <w:fldChar w:fldCharType="separate"/>
      </w:r>
      <w:r>
        <w:rPr/>
        <w:t>12.1.2.</w:t>
      </w:r>
      <w:r>
        <w:rPr/>
        <w:fldChar w:fldCharType="end"/>
      </w:r>
      <w:r>
        <w:rPr/>
        <w:t xml:space="preserve"> e </w:t>
      </w:r>
      <w:r>
        <w:rPr/>
        <w:fldChar w:fldCharType="begin"/>
      </w:r>
      <w:r>
        <w:rPr/>
        <w:instrText> REF _Ref114668139 \r \h </w:instrText>
      </w:r>
      <w:r>
        <w:rPr/>
        <w:fldChar w:fldCharType="separate"/>
      </w:r>
      <w:r>
        <w:rPr/>
        <w:t>12.1.3.</w:t>
      </w:r>
      <w:r>
        <w:rPr/>
        <w:fldChar w:fldCharType="end"/>
      </w:r>
      <w:r>
        <w:rPr/>
        <w:t>, quando não se justificar a imposição de penalidade mais grave, e impedirá o responsável de licitar e contratar no âmbito da Administração Pública direta e indireta do ente federativo a qual pertencer o órgão ou entidade, pelo prazo máximo de 3 (três) anos.</w:t>
      </w:r>
    </w:p>
    <w:p>
      <w:pPr>
        <w:pStyle w:val="Nivel2"/>
        <w:numPr>
          <w:ilvl w:val="1"/>
          <w:numId w:val="1"/>
        </w:numPr>
        <w:ind w:left="0" w:hanging="0"/>
        <w:rPr/>
      </w:pPr>
      <w:r>
        <w:rPr/>
        <w:t xml:space="preserve">Poderá ser aplicada ao responsável a sanção de declaração de inidoneidade para licitar ou contratar, em decorrência da prática das infrações dispostas nos itens </w:t>
      </w:r>
      <w:r>
        <w:rPr/>
        <w:fldChar w:fldCharType="begin"/>
      </w:r>
      <w:r>
        <w:rPr/>
        <w:instrText> REF _Ref114668249 \r \h </w:instrText>
      </w:r>
      <w:r>
        <w:rPr/>
        <w:fldChar w:fldCharType="separate"/>
      </w:r>
      <w:r>
        <w:rPr/>
        <w:t>12.1.4.</w:t>
      </w:r>
      <w:r>
        <w:rPr/>
        <w:fldChar w:fldCharType="end"/>
      </w:r>
      <w:r>
        <w:rPr/>
        <w:t xml:space="preserve">, </w:t>
      </w:r>
      <w:r>
        <w:rPr/>
        <w:fldChar w:fldCharType="begin"/>
      </w:r>
      <w:r>
        <w:rPr/>
        <w:instrText> REF _Ref114668245 \r \h </w:instrText>
      </w:r>
      <w:r>
        <w:rPr/>
        <w:fldChar w:fldCharType="separate"/>
      </w:r>
      <w:r>
        <w:rPr/>
        <w:t>12.1.5.</w:t>
      </w:r>
      <w:r>
        <w:rPr/>
        <w:fldChar w:fldCharType="end"/>
      </w:r>
      <w:r>
        <w:rPr/>
        <w:t xml:space="preserve">, </w:t>
      </w:r>
      <w:r>
        <w:rPr/>
        <w:fldChar w:fldCharType="begin"/>
      </w:r>
      <w:r>
        <w:rPr/>
        <w:instrText> REF _Ref114668247 \r \h </w:instrText>
      </w:r>
      <w:r>
        <w:rPr/>
        <w:fldChar w:fldCharType="separate"/>
      </w:r>
      <w:r>
        <w:rPr/>
        <w:t>12.1.6.</w:t>
      </w:r>
      <w:r>
        <w:rPr/>
        <w:fldChar w:fldCharType="end"/>
      </w:r>
      <w:r>
        <w:rPr/>
        <w:t xml:space="preserve">, </w:t>
      </w:r>
      <w:r>
        <w:rPr/>
        <w:fldChar w:fldCharType="begin"/>
      </w:r>
      <w:r>
        <w:rPr/>
        <w:instrText> REF _Ref114668251 \r \h </w:instrText>
      </w:r>
      <w:r>
        <w:rPr/>
        <w:fldChar w:fldCharType="separate"/>
      </w:r>
      <w:r>
        <w:rPr/>
        <w:t>12.1.7.</w:t>
      </w:r>
      <w:r>
        <w:rPr/>
        <w:fldChar w:fldCharType="end"/>
      </w:r>
      <w:r>
        <w:rPr/>
        <w:t xml:space="preserve"> e </w:t>
      </w:r>
      <w:r>
        <w:rPr/>
        <w:fldChar w:fldCharType="begin"/>
      </w:r>
      <w:r>
        <w:rPr/>
        <w:instrText> REF _Ref114668252 \r \h </w:instrText>
      </w:r>
      <w:r>
        <w:rPr/>
        <w:fldChar w:fldCharType="separate"/>
      </w:r>
      <w:r>
        <w:rPr/>
        <w:t>12.1.8.</w:t>
      </w:r>
      <w:r>
        <w:rPr/>
        <w:fldChar w:fldCharType="end"/>
      </w:r>
      <w:r>
        <w:rPr/>
        <w:t xml:space="preserve">, bem como pelas infrações administrativas previstas nos itens </w:t>
      </w:r>
      <w:r>
        <w:rPr/>
        <w:fldChar w:fldCharType="begin"/>
      </w:r>
      <w:r>
        <w:rPr/>
        <w:instrText> REF _Ref114668085 \r \h </w:instrText>
      </w:r>
      <w:r>
        <w:rPr/>
        <w:fldChar w:fldCharType="separate"/>
      </w:r>
      <w:r>
        <w:rPr/>
        <w:t>12.1.1.</w:t>
      </w:r>
      <w:r>
        <w:rPr/>
        <w:fldChar w:fldCharType="end"/>
      </w:r>
      <w:r>
        <w:rPr/>
        <w:t xml:space="preserve">, </w:t>
      </w:r>
      <w:r>
        <w:rPr/>
        <w:fldChar w:fldCharType="begin"/>
      </w:r>
      <w:r>
        <w:rPr/>
        <w:instrText> REF _Ref114668108 \r \h </w:instrText>
      </w:r>
      <w:r>
        <w:rPr/>
        <w:fldChar w:fldCharType="separate"/>
      </w:r>
      <w:r>
        <w:rPr/>
        <w:t>12.1.2.</w:t>
      </w:r>
      <w:r>
        <w:rPr/>
        <w:fldChar w:fldCharType="end"/>
      </w:r>
      <w:r>
        <w:rPr/>
        <w:t xml:space="preserve"> e </w:t>
      </w:r>
      <w:r>
        <w:rPr/>
        <w:fldChar w:fldCharType="begin"/>
      </w:r>
      <w:r>
        <w:rPr/>
        <w:instrText> REF _Ref114668139 \r \h </w:instrText>
      </w:r>
      <w:r>
        <w:rPr/>
        <w:fldChar w:fldCharType="separate"/>
      </w:r>
      <w:r>
        <w:rPr/>
        <w:t>12.1.3.</w:t>
      </w:r>
      <w:r>
        <w:rPr/>
        <w:fldChar w:fldCharType="end"/>
      </w:r>
      <w:r>
        <w:rPr/>
        <w:t xml:space="preserve"> que justifiquem a imposição de penalidade mais grave que a sanção de impedimento de licitar e contratar, cuja duração observará o prazo previsto no </w:t>
      </w:r>
      <w:r>
        <w:fldChar w:fldCharType="begin"/>
      </w:r>
      <w:r>
        <w:rPr>
          <w:rStyle w:val="LinkdaInternet"/>
          <w:u w:val="none"/>
          <w:color w:val="000000"/>
        </w:rPr>
        <w:instrText> HYPERLINK "http://www.planalto.gov.br/ccivil_03/_ato2019-2022/2021/lei/L14133.htm" \l "art156§5"</w:instrText>
      </w:r>
      <w:r>
        <w:rPr>
          <w:rStyle w:val="LinkdaInternet"/>
          <w:u w:val="none"/>
          <w:color w:val="000000"/>
        </w:rPr>
        <w:fldChar w:fldCharType="separate"/>
      </w:r>
      <w:r>
        <w:rPr>
          <w:rStyle w:val="LinkdaInternet"/>
          <w:color w:val="000000"/>
          <w:u w:val="none"/>
        </w:rPr>
        <w:t>art. 156, §5º, da Lei n.º 14.133/2021</w:t>
      </w:r>
      <w:r>
        <w:rPr>
          <w:rStyle w:val="LinkdaInternet"/>
          <w:u w:val="none"/>
          <w:color w:val="000000"/>
        </w:rPr>
        <w:fldChar w:fldCharType="end"/>
      </w:r>
      <w:r>
        <w:rPr/>
        <w:t>.</w:t>
      </w:r>
    </w:p>
    <w:p>
      <w:pPr>
        <w:pStyle w:val="Nivel2"/>
        <w:numPr>
          <w:ilvl w:val="1"/>
          <w:numId w:val="1"/>
        </w:numPr>
        <w:ind w:left="0" w:hanging="0"/>
        <w:rPr/>
      </w:pPr>
      <w:r>
        <w:rPr/>
        <w:t xml:space="preserve">A recusa injustificada do adjudicatário em assinar o contrato ou a ata de registro de preço, ou em aceitar ou retirar o instrumento equivalente no prazo estabelecido pela Administração, descrita no item </w:t>
      </w:r>
      <w:r>
        <w:rPr/>
        <w:fldChar w:fldCharType="begin"/>
      </w:r>
      <w:r>
        <w:rPr/>
        <w:instrText> REF _Ref114668139 \r \h </w:instrText>
      </w:r>
      <w:r>
        <w:rPr/>
        <w:fldChar w:fldCharType="separate"/>
      </w:r>
      <w:r>
        <w:rPr/>
        <w:t>12.1.3.</w:t>
      </w:r>
      <w:r>
        <w:rPr/>
        <w:fldChar w:fldCharType="end"/>
      </w:r>
      <w:r>
        <w:rPr/>
        <w:t xml:space="preserve">, caracterizará o descumprimento total da obrigação assumida e o sujeitará às penalidades e à imediata perda da garantia de proposta em favor do órgão ou entidade promotora da licitação, nos termos do </w:t>
      </w:r>
      <w:hyperlink r:id="rId26">
        <w:r>
          <w:rPr>
            <w:rStyle w:val="LinkdaInternet"/>
            <w:color w:val="000000"/>
            <w:u w:val="none"/>
          </w:rPr>
          <w:t>art. 45, §4º da IN SEGES/ME n.º 73, de 2022</w:t>
        </w:r>
      </w:hyperlink>
      <w:r>
        <w:rPr/>
        <w:t xml:space="preserve">. </w:t>
      </w:r>
    </w:p>
    <w:p>
      <w:pPr>
        <w:pStyle w:val="Nivel2"/>
        <w:numPr>
          <w:ilvl w:val="1"/>
          <w:numId w:val="1"/>
        </w:numPr>
        <w:ind w:left="0" w:hanging="0"/>
        <w:rPr/>
      </w:pPr>
      <w:r>
        <w:rPr/>
        <w:t xml:space="preserve">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o licitante ou o adjudicatário para, no prazo de </w:t>
      </w:r>
      <w:r>
        <w:rPr>
          <w:b/>
          <w:bCs/>
        </w:rPr>
        <w:t>15 (quinze) dias úteis</w:t>
      </w:r>
      <w:r>
        <w:rPr/>
        <w:t xml:space="preserve">, contado da data de sua intimação, apresentar defesa escrita e especificar as provas que pretenda produzir. </w:t>
      </w:r>
    </w:p>
    <w:p>
      <w:pPr>
        <w:pStyle w:val="Nivel2"/>
        <w:numPr>
          <w:ilvl w:val="1"/>
          <w:numId w:val="1"/>
        </w:numPr>
        <w:ind w:left="0" w:hanging="0"/>
        <w:rPr/>
      </w:pPr>
      <w:r>
        <w:rPr/>
        <w:t>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pPr>
        <w:pStyle w:val="Nivel2"/>
        <w:numPr>
          <w:ilvl w:val="1"/>
          <w:numId w:val="1"/>
        </w:numPr>
        <w:ind w:left="0" w:hanging="0"/>
        <w:rPr/>
      </w:pPr>
      <w:r>
        <w:rPr/>
        <w:t xml:space="preserve">Caberá a apresentação de pedido de reconsideração da aplicação da sanção de declaração de inidoneidade para licitar ou contratar no prazo de </w:t>
      </w:r>
      <w:r>
        <w:rPr>
          <w:b/>
          <w:bCs/>
        </w:rPr>
        <w:t>15 (quinze) dias úteis</w:t>
      </w:r>
      <w:r>
        <w:rPr/>
        <w:t>, contado da data da intimação, e decidido no prazo máximo de</w:t>
      </w:r>
      <w:r>
        <w:rPr>
          <w:b/>
          <w:bCs/>
        </w:rPr>
        <w:t xml:space="preserve"> 20 (vinte) dias úteis</w:t>
      </w:r>
      <w:r>
        <w:rPr/>
        <w:t>, contado do seu recebimento.</w:t>
      </w:r>
    </w:p>
    <w:p>
      <w:pPr>
        <w:pStyle w:val="Nivel2"/>
        <w:numPr>
          <w:ilvl w:val="1"/>
          <w:numId w:val="1"/>
        </w:numPr>
        <w:ind w:left="0" w:hanging="0"/>
        <w:rPr/>
      </w:pPr>
      <w:r>
        <w:rPr/>
        <w:t>O recurso e o pedido de reconsideração terão efeito suspensivo do ato ou da decisão recorrida até que sobrevenha decisão final da autoridade competente.</w:t>
      </w:r>
    </w:p>
    <w:p>
      <w:pPr>
        <w:pStyle w:val="Nivel2"/>
        <w:numPr>
          <w:ilvl w:val="1"/>
          <w:numId w:val="1"/>
        </w:numPr>
        <w:ind w:left="0" w:hanging="0"/>
        <w:rPr/>
      </w:pPr>
      <w:r>
        <w:rPr/>
        <w:t>A aplicação das sanções previstas neste edital não exclui, em hipótese alguma, a obrigação de reparação integral dos danos causados.</w:t>
      </w:r>
    </w:p>
    <w:p>
      <w:pPr>
        <w:pStyle w:val="Nivel01"/>
        <w:numPr>
          <w:ilvl w:val="0"/>
          <w:numId w:val="1"/>
        </w:numPr>
        <w:rPr/>
      </w:pPr>
      <w:bookmarkStart w:id="68" w:name="_Toc135469235"/>
      <w:r>
        <w:rPr/>
        <w:t>DA IMPUGNAÇÃO AO EDITAL E DO PEDIDO DE ESCLARECIMENTO</w:t>
      </w:r>
      <w:bookmarkEnd w:id="68"/>
    </w:p>
    <w:p>
      <w:pPr>
        <w:pStyle w:val="Nivel2"/>
        <w:numPr>
          <w:ilvl w:val="1"/>
          <w:numId w:val="1"/>
        </w:numPr>
        <w:ind w:left="0" w:hanging="0"/>
        <w:rPr/>
      </w:pPr>
      <w:r>
        <w:rPr/>
        <w:t xml:space="preserve">Qualquer pessoa é parte legítima para impugnar este Edital por irregularidade na aplicação da </w:t>
      </w:r>
      <w:hyperlink r:id="rId27">
        <w:r>
          <w:rPr>
            <w:rStyle w:val="LinkdaInternet"/>
            <w:color w:val="000000"/>
            <w:u w:val="none"/>
          </w:rPr>
          <w:t>Lei nº 14.133, de 2021</w:t>
        </w:r>
      </w:hyperlink>
      <w:r>
        <w:rPr/>
        <w:t>, devendo protocolar o pedido até 3 (três) dias úteis antes da data da abertura do certame.</w:t>
      </w:r>
    </w:p>
    <w:p>
      <w:pPr>
        <w:pStyle w:val="Nivel2"/>
        <w:numPr>
          <w:ilvl w:val="1"/>
          <w:numId w:val="1"/>
        </w:numPr>
        <w:ind w:left="0" w:hanging="0"/>
        <w:rPr/>
      </w:pPr>
      <w:r>
        <w:rPr/>
        <w:t>A resposta à impugnação ou ao pedido de esclarecimento será divulgado em sítio eletrônico oficial no prazo de até 3 (três) dias úteis, limitado ao último dia útil anterior à data da abertura do certame.</w:t>
      </w:r>
    </w:p>
    <w:p>
      <w:pPr>
        <w:pStyle w:val="Nivel2"/>
        <w:numPr>
          <w:ilvl w:val="1"/>
          <w:numId w:val="1"/>
        </w:numPr>
        <w:ind w:left="0" w:hanging="0"/>
        <w:rPr/>
      </w:pPr>
      <w:r>
        <w:rPr/>
        <w:t xml:space="preserve">A impugnação e o pedido de esclarecimento poderão ser realizados por forma eletrônica, </w:t>
      </w:r>
      <w:r>
        <w:rPr>
          <w:i w:val="false"/>
          <w:iCs w:val="false"/>
          <w:color w:val="000000"/>
        </w:rPr>
        <w:t>pelos seguintes meios</w:t>
      </w:r>
      <w:r>
        <w:rPr/>
        <w:t xml:space="preserve">: </w:t>
      </w:r>
      <w:r>
        <w:rPr>
          <w:color w:val="auto"/>
        </w:rPr>
        <w:t xml:space="preserve">e-mail: </w:t>
      </w:r>
      <w:hyperlink r:id="rId28">
        <w:r>
          <w:rPr>
            <w:rStyle w:val="LinkdaInternet"/>
            <w:color w:val="auto"/>
          </w:rPr>
          <w:t>licitaparque7@gmail.com</w:t>
        </w:r>
      </w:hyperlink>
      <w:r>
        <w:rPr>
          <w:color w:val="auto"/>
        </w:rPr>
        <w:t>.</w:t>
      </w:r>
    </w:p>
    <w:p>
      <w:pPr>
        <w:pStyle w:val="Nivel2"/>
        <w:numPr>
          <w:ilvl w:val="1"/>
          <w:numId w:val="1"/>
        </w:numPr>
        <w:ind w:left="0" w:hanging="0"/>
        <w:rPr/>
      </w:pPr>
      <w:r>
        <w:rPr/>
        <w:t>As impugnações e pedidos de esclarecimentos não suspendem os prazos previstos no certame.</w:t>
      </w:r>
    </w:p>
    <w:p>
      <w:pPr>
        <w:pStyle w:val="Nivel3"/>
        <w:numPr>
          <w:ilvl w:val="2"/>
          <w:numId w:val="1"/>
        </w:numPr>
        <w:ind w:left="284" w:hanging="0"/>
        <w:rPr/>
      </w:pPr>
      <w:r>
        <w:rPr/>
        <w:t>A concessão de efeito suspensivo à impugnação é medida excepcional e deverá ser motivada pelo agente de contratação, nos autos do processo de licitação.</w:t>
      </w:r>
    </w:p>
    <w:p>
      <w:pPr>
        <w:pStyle w:val="Nivel2"/>
        <w:numPr>
          <w:ilvl w:val="1"/>
          <w:numId w:val="1"/>
        </w:numPr>
        <w:ind w:left="0" w:hanging="0"/>
        <w:rPr/>
      </w:pPr>
      <w:r>
        <w:rPr/>
        <w:t>Acolhida a impugnação, será definida e publicada nova data para a realização do certame.</w:t>
      </w:r>
    </w:p>
    <w:p>
      <w:pPr>
        <w:pStyle w:val="Nivel01"/>
        <w:numPr>
          <w:ilvl w:val="0"/>
          <w:numId w:val="1"/>
        </w:numPr>
        <w:rPr/>
      </w:pPr>
      <w:bookmarkStart w:id="69" w:name="_Toc135469236"/>
      <w:r>
        <w:rPr/>
        <w:t>DAS DISPOSIÇÕES GERAIS</w:t>
      </w:r>
      <w:bookmarkEnd w:id="69"/>
    </w:p>
    <w:p>
      <w:pPr>
        <w:pStyle w:val="Nivel2"/>
        <w:numPr>
          <w:ilvl w:val="1"/>
          <w:numId w:val="1"/>
        </w:numPr>
        <w:ind w:left="0" w:hanging="0"/>
        <w:rPr/>
      </w:pPr>
      <w:bookmarkStart w:id="70" w:name="_Hlk82473550"/>
      <w:bookmarkEnd w:id="70"/>
      <w:r>
        <w:rPr/>
        <w:t>Será divulgada ata da sessão pública no sistema eletrônico.</w:t>
      </w:r>
    </w:p>
    <w:p>
      <w:pPr>
        <w:pStyle w:val="Nivel2"/>
        <w:numPr>
          <w:ilvl w:val="1"/>
          <w:numId w:val="1"/>
        </w:numPr>
        <w:ind w:left="0" w:hanging="0"/>
        <w:rPr/>
      </w:pPr>
      <w:r>
        <w:rPr/>
        <w:t>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w:t>
      </w:r>
    </w:p>
    <w:p>
      <w:pPr>
        <w:pStyle w:val="Nivel2"/>
        <w:numPr>
          <w:ilvl w:val="1"/>
          <w:numId w:val="1"/>
        </w:numPr>
        <w:ind w:left="0" w:hanging="0"/>
        <w:rPr/>
      </w:pPr>
      <w:r>
        <w:rPr/>
        <w:t>Todas as referências de tempo no Edital, no aviso e durante a sessão pública observarão o horário de Brasília - DF.</w:t>
      </w:r>
    </w:p>
    <w:p>
      <w:pPr>
        <w:pStyle w:val="Nivel2"/>
        <w:numPr>
          <w:ilvl w:val="1"/>
          <w:numId w:val="1"/>
        </w:numPr>
        <w:ind w:left="0" w:hanging="0"/>
        <w:rPr/>
      </w:pPr>
      <w:r>
        <w:rPr/>
        <w:t>A homologação do resultado desta licitação não implicará direito à contratação.</w:t>
      </w:r>
    </w:p>
    <w:p>
      <w:pPr>
        <w:pStyle w:val="Nivel2"/>
        <w:numPr>
          <w:ilvl w:val="1"/>
          <w:numId w:val="1"/>
        </w:numPr>
        <w:ind w:left="0" w:hanging="0"/>
        <w:rPr/>
      </w:pPr>
      <w:r>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pPr>
        <w:pStyle w:val="Nivel2"/>
        <w:numPr>
          <w:ilvl w:val="1"/>
          <w:numId w:val="1"/>
        </w:numPr>
        <w:ind w:left="0" w:hanging="0"/>
        <w:rPr/>
      </w:pPr>
      <w:r>
        <w:rPr/>
        <w:t>Os licitantes assumem todos os custos de preparação e apresentação de suas propostas e a Administração não será, em nenhum caso, responsável por esses custos, independentemente da condução ou do resultado do processo licitatório.</w:t>
      </w:r>
    </w:p>
    <w:p>
      <w:pPr>
        <w:pStyle w:val="Nivel2"/>
        <w:numPr>
          <w:ilvl w:val="1"/>
          <w:numId w:val="1"/>
        </w:numPr>
        <w:ind w:left="0" w:hanging="0"/>
        <w:rPr/>
      </w:pPr>
      <w:r>
        <w:rPr/>
        <w:t>Na contagem dos prazos estabelecidos neste Edital e seus Anexos, excluir-se-á o dia do início e incluir-se-á o do vencimento. Só se iniciam e vencem os prazos em dias de expediente na Administração.</w:t>
      </w:r>
    </w:p>
    <w:p>
      <w:pPr>
        <w:pStyle w:val="Nivel2"/>
        <w:numPr>
          <w:ilvl w:val="1"/>
          <w:numId w:val="1"/>
        </w:numPr>
        <w:ind w:left="0" w:hanging="0"/>
        <w:rPr/>
      </w:pPr>
      <w:r>
        <w:rPr/>
        <w:t>O desatendimento de exigências formais não essenciais não importará o afastamento do licitante, desde que seja possível o aproveitamento do ato, observados os princípios da isonomia e do interesse público.</w:t>
      </w:r>
    </w:p>
    <w:p>
      <w:pPr>
        <w:pStyle w:val="Nivel2"/>
        <w:numPr>
          <w:ilvl w:val="1"/>
          <w:numId w:val="1"/>
        </w:numPr>
        <w:ind w:left="0" w:hanging="0"/>
        <w:rPr>
          <w:rFonts w:eastAsia="Times New Roman"/>
        </w:rPr>
      </w:pPr>
      <w:r>
        <w:rPr/>
        <w:t>Em caso de divergência entre disposições deste Edital e de seus anexos ou demais peças que compõem o processo, prevalecerá as deste Edital.</w:t>
      </w:r>
    </w:p>
    <w:p>
      <w:pPr>
        <w:pStyle w:val="Nivel2"/>
        <w:numPr>
          <w:ilvl w:val="1"/>
          <w:numId w:val="1"/>
        </w:numPr>
        <w:ind w:left="0" w:hanging="0"/>
        <w:rPr>
          <w:rFonts w:eastAsia="Times New Roman"/>
        </w:rPr>
      </w:pPr>
      <w:r>
        <w:rPr/>
        <w:t xml:space="preserve">O Edital e seus anexos estão disponíveis, na íntegra, no Portal Nacional de Contratações Públicas (PNCP) e endereço eletrônico </w:t>
      </w:r>
      <w:r>
        <w:rPr>
          <w:rFonts w:eastAsia="Times New Roman"/>
          <w:color w:val="auto"/>
        </w:rPr>
        <w:t xml:space="preserve">e-mail </w:t>
      </w:r>
      <w:hyperlink r:id="rId29">
        <w:r>
          <w:rPr>
            <w:rStyle w:val="LinkdaInternet"/>
            <w:rFonts w:eastAsia="Times New Roman"/>
          </w:rPr>
          <w:t>licitaparque7@gmail.com</w:t>
        </w:r>
      </w:hyperlink>
      <w:r>
        <w:rPr>
          <w:rFonts w:eastAsia="Times New Roman"/>
          <w:color w:val="auto"/>
        </w:rPr>
        <w:t xml:space="preserve"> em qualquer momento</w:t>
      </w:r>
      <w:r>
        <w:rPr>
          <w:rFonts w:eastAsia="Times New Roman"/>
        </w:rPr>
        <w:t>.</w:t>
      </w:r>
    </w:p>
    <w:p>
      <w:pPr>
        <w:pStyle w:val="Nivel2"/>
        <w:numPr>
          <w:ilvl w:val="1"/>
          <w:numId w:val="1"/>
        </w:numPr>
        <w:ind w:left="0" w:hanging="0"/>
        <w:rPr>
          <w:rFonts w:eastAsia="Times New Roman"/>
        </w:rPr>
      </w:pPr>
      <w:r>
        <w:rPr/>
        <w:t>Integram este Edital, para todos os fins e efeitos, os seguintes anexos:</w:t>
      </w:r>
    </w:p>
    <w:p>
      <w:pPr>
        <w:pStyle w:val="Nivel3"/>
        <w:numPr>
          <w:ilvl w:val="2"/>
          <w:numId w:val="1"/>
        </w:numPr>
        <w:ind w:left="284" w:hanging="0"/>
        <w:rPr/>
      </w:pPr>
      <w:r>
        <w:rPr/>
        <w:t>ANEXO I - Termo de Referência</w:t>
      </w:r>
    </w:p>
    <w:p>
      <w:pPr>
        <w:pStyle w:val="Nivel4"/>
        <w:numPr>
          <w:ilvl w:val="3"/>
          <w:numId w:val="1"/>
        </w:numPr>
        <w:ind w:left="567" w:hanging="0"/>
        <w:rPr/>
      </w:pPr>
      <w:r>
        <w:rPr/>
        <w:t>Apêndice do Anexo I – Estudo Técnico Preliminar</w:t>
      </w:r>
    </w:p>
    <w:p>
      <w:pPr>
        <w:pStyle w:val="Nivel4"/>
        <w:numPr>
          <w:ilvl w:val="3"/>
          <w:numId w:val="1"/>
        </w:numPr>
        <w:spacing w:lineRule="auto" w:line="312" w:before="3" w:after="3"/>
        <w:ind w:left="0" w:firstLine="851"/>
        <w:rPr/>
      </w:pPr>
      <w:r>
        <w:rPr/>
        <w:t>Apêndice do Anexo I - Planilha Quantidade Individualizado de cada OM;</w:t>
      </w:r>
    </w:p>
    <w:p>
      <w:pPr>
        <w:pStyle w:val="Nivel3"/>
        <w:widowControl/>
        <w:numPr>
          <w:ilvl w:val="2"/>
          <w:numId w:val="1"/>
        </w:numPr>
        <w:bidi w:val="0"/>
        <w:spacing w:lineRule="auto" w:line="312" w:before="3" w:after="3"/>
        <w:ind w:left="0" w:right="0" w:firstLine="283"/>
        <w:jc w:val="both"/>
        <w:rPr>
          <w:b w:val="false"/>
          <w:b w:val="false"/>
          <w:bCs w:val="false"/>
        </w:rPr>
      </w:pPr>
      <w:r>
        <w:rPr>
          <w:b w:val="false"/>
          <w:bCs w:val="false"/>
        </w:rPr>
        <w:t>ANEXO II –  Ata de Registro de Preços;</w:t>
      </w:r>
    </w:p>
    <w:p>
      <w:pPr>
        <w:pStyle w:val="Nivel3"/>
        <w:widowControl/>
        <w:numPr>
          <w:ilvl w:val="2"/>
          <w:numId w:val="1"/>
        </w:numPr>
        <w:bidi w:val="0"/>
        <w:spacing w:lineRule="auto" w:line="312" w:before="0" w:after="0"/>
        <w:ind w:left="0" w:right="0" w:firstLine="283"/>
        <w:jc w:val="both"/>
        <w:rPr>
          <w:b w:val="false"/>
          <w:b w:val="false"/>
          <w:bCs w:val="false"/>
        </w:rPr>
      </w:pPr>
      <w:r>
        <w:rPr>
          <w:b w:val="false"/>
          <w:bCs w:val="false"/>
          <w:color w:val="auto"/>
        </w:rPr>
        <w:t>ANEXO III – Declaração de Parentesco;</w:t>
      </w:r>
    </w:p>
    <w:p>
      <w:pPr>
        <w:pStyle w:val="Nivel3"/>
        <w:widowControl/>
        <w:numPr>
          <w:ilvl w:val="2"/>
          <w:numId w:val="1"/>
        </w:numPr>
        <w:bidi w:val="0"/>
        <w:spacing w:lineRule="auto" w:line="312" w:before="0" w:after="0"/>
        <w:ind w:left="0" w:right="0" w:firstLine="283"/>
        <w:jc w:val="both"/>
        <w:rPr>
          <w:b w:val="false"/>
          <w:b w:val="false"/>
          <w:bCs w:val="false"/>
        </w:rPr>
      </w:pPr>
      <w:r>
        <w:rPr>
          <w:b w:val="false"/>
          <w:bCs w:val="false"/>
          <w:color w:val="auto"/>
        </w:rPr>
        <w:t>ANEXO IV – Declaração de Exequibilidade;</w:t>
      </w:r>
    </w:p>
    <w:p>
      <w:pPr>
        <w:pStyle w:val="Nivel3"/>
        <w:widowControl/>
        <w:numPr>
          <w:ilvl w:val="2"/>
          <w:numId w:val="1"/>
        </w:numPr>
        <w:bidi w:val="0"/>
        <w:spacing w:lineRule="auto" w:line="312" w:before="0" w:after="0"/>
        <w:ind w:left="0" w:right="0" w:firstLine="283"/>
        <w:jc w:val="both"/>
        <w:rPr>
          <w:b w:val="false"/>
          <w:b w:val="false"/>
          <w:bCs w:val="false"/>
        </w:rPr>
      </w:pPr>
      <w:r>
        <w:rPr>
          <w:b w:val="false"/>
          <w:bCs w:val="false"/>
          <w:color w:val="auto"/>
        </w:rPr>
        <w:t>ANEXO V – Declaração de Ciência;</w:t>
      </w:r>
    </w:p>
    <w:p>
      <w:pPr>
        <w:pStyle w:val="Nivel3"/>
        <w:widowControl/>
        <w:numPr>
          <w:ilvl w:val="2"/>
          <w:numId w:val="1"/>
        </w:numPr>
        <w:bidi w:val="0"/>
        <w:spacing w:lineRule="auto" w:line="312" w:before="0" w:after="0"/>
        <w:ind w:left="0" w:right="0" w:firstLine="283"/>
        <w:jc w:val="both"/>
        <w:rPr>
          <w:b w:val="false"/>
          <w:b w:val="false"/>
          <w:bCs w:val="false"/>
        </w:rPr>
      </w:pPr>
      <w:r>
        <w:rPr>
          <w:b w:val="false"/>
          <w:bCs w:val="false"/>
          <w:color w:val="auto"/>
        </w:rPr>
        <w:t>ANEXO VI – Declaração de Pleno Atendimento aos Requisitos de Habilitação; e</w:t>
      </w:r>
    </w:p>
    <w:p>
      <w:pPr>
        <w:pStyle w:val="Nivel3"/>
        <w:widowControl/>
        <w:numPr>
          <w:ilvl w:val="2"/>
          <w:numId w:val="1"/>
        </w:numPr>
        <w:bidi w:val="0"/>
        <w:spacing w:lineRule="auto" w:line="312" w:before="3" w:after="3"/>
        <w:ind w:left="0" w:right="0" w:firstLine="283"/>
        <w:jc w:val="both"/>
        <w:rPr>
          <w:rFonts w:eastAsia="Times New Roman"/>
          <w:color w:val="auto"/>
        </w:rPr>
      </w:pPr>
      <w:r>
        <w:rPr>
          <w:color w:val="auto"/>
        </w:rPr>
        <w:t>ANEXO VII – Declaração de Elaboração Independente de Proposta.</w:t>
      </w:r>
    </w:p>
    <w:p>
      <w:pPr>
        <w:pStyle w:val="Nivel3"/>
        <w:numPr>
          <w:ilvl w:val="0"/>
          <w:numId w:val="0"/>
        </w:numPr>
        <w:ind w:left="1922" w:hanging="0"/>
        <w:rPr>
          <w:highlight w:val="cyan"/>
        </w:rPr>
      </w:pPr>
      <w:r>
        <w:rPr/>
      </w:r>
    </w:p>
    <w:p>
      <w:pPr>
        <w:pStyle w:val="Normal"/>
        <w:spacing w:lineRule="auto" w:line="312" w:before="288" w:after="288"/>
        <w:ind w:firstLine="567"/>
        <w:jc w:val="center"/>
        <w:rPr/>
      </w:pPr>
      <w:r>
        <w:rPr>
          <w:rFonts w:eastAsia="MS Mincho" w:cs="Arial" w:ascii="Arial" w:hAnsi="Arial"/>
          <w:color w:val="000000"/>
          <w:sz w:val="20"/>
          <w:szCs w:val="20"/>
        </w:rPr>
        <w:t xml:space="preserve">Recife/PE, </w:t>
      </w:r>
      <w:r>
        <w:rPr>
          <w:rFonts w:eastAsia="MS Mincho" w:cs="Arial" w:ascii="Arial" w:hAnsi="Arial"/>
          <w:color w:val="000000"/>
          <w:kern w:val="0"/>
          <w:sz w:val="20"/>
          <w:szCs w:val="20"/>
          <w:lang w:val="pt-BR" w:eastAsia="pt-BR" w:bidi="ar-SA"/>
        </w:rPr>
        <w:t>27</w:t>
      </w:r>
      <w:r>
        <w:rPr>
          <w:rFonts w:eastAsia="MS Mincho" w:cs="Arial" w:ascii="Arial" w:hAnsi="Arial"/>
          <w:color w:val="000000"/>
          <w:sz w:val="20"/>
          <w:szCs w:val="20"/>
        </w:rPr>
        <w:t xml:space="preserve"> de </w:t>
      </w:r>
      <w:r>
        <w:rPr>
          <w:rFonts w:eastAsia="MS Mincho" w:cs="Arial" w:ascii="Arial" w:hAnsi="Arial"/>
          <w:color w:val="000000"/>
          <w:sz w:val="20"/>
          <w:szCs w:val="20"/>
        </w:rPr>
        <w:t>março</w:t>
      </w:r>
      <w:r>
        <w:rPr>
          <w:rFonts w:eastAsia="MS Mincho" w:cs="Arial" w:ascii="Arial" w:hAnsi="Arial"/>
          <w:color w:val="000000"/>
          <w:sz w:val="20"/>
          <w:szCs w:val="20"/>
        </w:rPr>
        <w:t xml:space="preserve"> de 202</w:t>
      </w:r>
      <w:r>
        <w:rPr>
          <w:rFonts w:eastAsia="MS Mincho" w:cs="Arial" w:ascii="Arial" w:hAnsi="Arial"/>
          <w:color w:val="000000"/>
          <w:sz w:val="20"/>
          <w:szCs w:val="20"/>
        </w:rPr>
        <w:t>4</w:t>
      </w:r>
      <w:r>
        <w:rPr>
          <w:rFonts w:eastAsia="MS Mincho" w:cs="Arial" w:ascii="Arial" w:hAnsi="Arial"/>
          <w:color w:val="000000"/>
          <w:sz w:val="20"/>
          <w:szCs w:val="20"/>
        </w:rPr>
        <w:t>.</w:t>
      </w:r>
    </w:p>
    <w:p>
      <w:pPr>
        <w:pStyle w:val="Normal"/>
        <w:spacing w:lineRule="auto" w:line="312" w:before="288" w:after="288"/>
        <w:ind w:firstLine="567"/>
        <w:rPr>
          <w:rFonts w:ascii="Arial" w:hAnsi="Arial" w:eastAsia="MS Mincho" w:cs="Arial"/>
          <w:color w:val="000000"/>
          <w:sz w:val="20"/>
          <w:szCs w:val="20"/>
        </w:rPr>
      </w:pPr>
      <w:r>
        <w:rPr>
          <w:rFonts w:eastAsia="MS Mincho" w:cs="Arial" w:ascii="Arial" w:hAnsi="Arial"/>
          <w:color w:val="000000"/>
          <w:sz w:val="20"/>
          <w:szCs w:val="20"/>
        </w:rPr>
      </w:r>
    </w:p>
    <w:p>
      <w:pPr>
        <w:pStyle w:val="Normal"/>
        <w:spacing w:lineRule="auto" w:line="312" w:before="288" w:after="288"/>
        <w:ind w:firstLine="567"/>
        <w:rPr>
          <w:rFonts w:ascii="Arial" w:hAnsi="Arial" w:eastAsia="MS Mincho" w:cs="Arial"/>
          <w:color w:val="000000"/>
          <w:sz w:val="20"/>
          <w:szCs w:val="20"/>
        </w:rPr>
      </w:pPr>
      <w:r>
        <w:rPr>
          <w:rFonts w:eastAsia="MS Mincho" w:cs="Arial" w:ascii="Arial" w:hAnsi="Arial"/>
          <w:color w:val="000000"/>
          <w:sz w:val="20"/>
          <w:szCs w:val="20"/>
        </w:rPr>
      </w:r>
    </w:p>
    <w:p>
      <w:pPr>
        <w:pStyle w:val="Normal"/>
        <w:spacing w:lineRule="auto" w:line="312" w:before="288" w:after="288"/>
        <w:ind w:firstLine="567"/>
        <w:rPr>
          <w:rFonts w:ascii="Arial" w:hAnsi="Arial" w:eastAsia="MS Mincho" w:cs="Arial"/>
          <w:color w:val="000000"/>
          <w:sz w:val="20"/>
          <w:szCs w:val="20"/>
        </w:rPr>
      </w:pPr>
      <w:r>
        <w:rPr>
          <w:rFonts w:eastAsia="MS Mincho" w:cs="Arial" w:ascii="Arial" w:hAnsi="Arial"/>
          <w:color w:val="000000"/>
          <w:sz w:val="20"/>
          <w:szCs w:val="20"/>
        </w:rPr>
      </w:r>
      <w:bookmarkStart w:id="71" w:name="_Hlk824735501"/>
      <w:bookmarkStart w:id="72" w:name="_Hlk824735501"/>
      <w:bookmarkEnd w:id="72"/>
    </w:p>
    <w:p>
      <w:pPr>
        <w:pStyle w:val="Padro1"/>
        <w:tabs>
          <w:tab w:val="left" w:pos="708" w:leader="none"/>
          <w:tab w:val="left" w:pos="1068" w:leader="none"/>
          <w:tab w:val="left" w:pos="1428" w:leader="none"/>
          <w:tab w:val="left" w:pos="1788" w:leader="none"/>
        </w:tabs>
        <w:ind w:left="357" w:hanging="0"/>
        <w:jc w:val="center"/>
        <w:rPr>
          <w:shd w:fill="auto" w:val="clear"/>
        </w:rPr>
      </w:pPr>
      <w:r>
        <w:rPr>
          <w:rFonts w:eastAsia="Times New Roman" w:cs="Times New Roman" w:ascii="Times New Roman" w:hAnsi="Times New Roman"/>
          <w:b/>
          <w:bCs/>
          <w:color w:val="000000"/>
          <w:kern w:val="0"/>
          <w:sz w:val="24"/>
          <w:szCs w:val="24"/>
          <w:shd w:fill="auto" w:val="clear"/>
          <w:lang w:val="pt-BR" w:eastAsia="pt-BR" w:bidi="pt-BR"/>
        </w:rPr>
        <w:t>ALEXSANDRO KLEITON MANOEL DA SILVA</w:t>
      </w:r>
      <w:r>
        <w:rPr>
          <w:rFonts w:cs="Times New Roman" w:ascii="Times New Roman" w:hAnsi="Times New Roman"/>
          <w:color w:val="000000"/>
          <w:shd w:fill="auto" w:val="clear"/>
          <w:lang w:bidi="pt-BR"/>
        </w:rPr>
        <w:t xml:space="preserve"> </w:t>
      </w:r>
      <w:r>
        <w:rPr>
          <w:rFonts w:cs="Times New Roman" w:ascii="Times New Roman" w:hAnsi="Times New Roman"/>
          <w:b/>
          <w:bCs/>
          <w:color w:val="000000"/>
          <w:shd w:fill="auto" w:val="clear"/>
          <w:lang w:bidi="pt-BR"/>
        </w:rPr>
        <w:t>– 3° SGT</w:t>
      </w:r>
    </w:p>
    <w:p>
      <w:pPr>
        <w:pStyle w:val="Padro1"/>
        <w:tabs>
          <w:tab w:val="left" w:pos="708" w:leader="none"/>
          <w:tab w:val="left" w:pos="1068" w:leader="none"/>
          <w:tab w:val="left" w:pos="1428" w:leader="none"/>
          <w:tab w:val="left" w:pos="1788" w:leader="none"/>
        </w:tabs>
        <w:spacing w:lineRule="auto" w:line="276"/>
        <w:ind w:left="357" w:hanging="0"/>
        <w:jc w:val="center"/>
        <w:rPr>
          <w:shd w:fill="auto" w:val="clear"/>
        </w:rPr>
      </w:pPr>
      <w:r>
        <w:rPr>
          <w:rFonts w:cs="Times New Roman" w:ascii="Times New Roman" w:hAnsi="Times New Roman"/>
          <w:color w:val="000000"/>
          <w:shd w:fill="auto" w:val="clear"/>
          <w:lang w:bidi="pt-BR"/>
        </w:rPr>
        <w:t>Pregoeiro</w:t>
      </w:r>
    </w:p>
    <w:p>
      <w:pPr>
        <w:pStyle w:val="Nivel2"/>
        <w:numPr>
          <w:ilvl w:val="0"/>
          <w:numId w:val="0"/>
        </w:numPr>
        <w:ind w:left="4969" w:hanging="0"/>
        <w:rPr/>
      </w:pPr>
      <w:r>
        <w:rPr/>
      </w:r>
    </w:p>
    <w:p>
      <w:pPr>
        <w:pStyle w:val="Nivel2"/>
        <w:numPr>
          <w:ilvl w:val="0"/>
          <w:numId w:val="0"/>
        </w:numPr>
        <w:ind w:left="4969" w:hanging="0"/>
        <w:rPr/>
      </w:pPr>
      <w:r>
        <w:rPr/>
      </w:r>
    </w:p>
    <w:p>
      <w:pPr>
        <w:pStyle w:val="Nivel2"/>
        <w:numPr>
          <w:ilvl w:val="0"/>
          <w:numId w:val="0"/>
        </w:numPr>
        <w:ind w:left="4969" w:hanging="0"/>
        <w:rPr/>
      </w:pPr>
      <w:r>
        <w:rPr/>
      </w:r>
    </w:p>
    <w:p>
      <w:pPr>
        <w:pStyle w:val="Nivel2"/>
        <w:numPr>
          <w:ilvl w:val="0"/>
          <w:numId w:val="0"/>
        </w:numPr>
        <w:ind w:left="4969" w:hanging="0"/>
        <w:rPr/>
      </w:pPr>
      <w:r>
        <w:rPr/>
      </w:r>
    </w:p>
    <w:p>
      <w:pPr>
        <w:pStyle w:val="Nivel2"/>
        <w:numPr>
          <w:ilvl w:val="0"/>
          <w:numId w:val="0"/>
        </w:numPr>
        <w:ind w:left="4969" w:hanging="0"/>
        <w:rPr/>
      </w:pPr>
      <w:r>
        <w:rPr/>
      </w:r>
    </w:p>
    <w:p>
      <w:pPr>
        <w:pStyle w:val="Nivel2"/>
        <w:numPr>
          <w:ilvl w:val="0"/>
          <w:numId w:val="0"/>
        </w:numPr>
        <w:ind w:left="4969" w:hanging="0"/>
        <w:rPr/>
      </w:pPr>
      <w:r>
        <w:rPr/>
      </w:r>
    </w:p>
    <w:p>
      <w:pPr>
        <w:pStyle w:val="Padro1"/>
        <w:tabs>
          <w:tab w:val="left" w:pos="708" w:leader="none"/>
          <w:tab w:val="left" w:pos="1068" w:leader="none"/>
          <w:tab w:val="left" w:pos="1428" w:leader="none"/>
          <w:tab w:val="left" w:pos="1788" w:leader="none"/>
        </w:tabs>
        <w:spacing w:lineRule="auto" w:line="276" w:before="240" w:after="240"/>
        <w:ind w:left="360" w:hanging="0"/>
        <w:jc w:val="center"/>
        <w:rPr>
          <w:sz w:val="24"/>
          <w:szCs w:val="24"/>
        </w:rPr>
      </w:pPr>
      <w:r>
        <w:rPr>
          <w:rFonts w:eastAsia="MS Mincho" w:cs="Times New Roman" w:ascii="Times New Roman" w:hAnsi="Times New Roman"/>
          <w:b/>
          <w:bCs/>
          <w:color w:val="000000"/>
          <w:kern w:val="0"/>
          <w:sz w:val="24"/>
          <w:szCs w:val="24"/>
          <w:shd w:fill="FFFFFF" w:val="clear"/>
          <w:lang w:val="pt-BR" w:eastAsia="pt-BR" w:bidi="pt-BR"/>
        </w:rPr>
        <w:t>PAULO HENRIQUE PUEHRINGER</w:t>
      </w:r>
      <w:r>
        <w:rPr>
          <w:rFonts w:eastAsia="Arial" w:cs="Arial" w:ascii="Times New Roman" w:hAnsi="Times New Roman"/>
          <w:b/>
          <w:bCs/>
          <w:color w:val="000000"/>
          <w:sz w:val="24"/>
          <w:szCs w:val="24"/>
          <w:shd w:fill="FFFFFF" w:val="clear"/>
          <w:lang w:bidi="pt-BR"/>
        </w:rPr>
        <w:t>–</w:t>
      </w:r>
      <w:r>
        <w:rPr>
          <w:rFonts w:eastAsia="MS Mincho" w:cs="Times New Roman" w:ascii="Times New Roman" w:hAnsi="Times New Roman"/>
          <w:b/>
          <w:bCs/>
          <w:color w:val="000000"/>
          <w:sz w:val="24"/>
          <w:szCs w:val="24"/>
          <w:shd w:fill="FFFFFF" w:val="clear"/>
          <w:lang w:bidi="pt-BR"/>
        </w:rPr>
        <w:t xml:space="preserve"> Ten Cel </w:t>
      </w:r>
      <w:r>
        <w:rPr>
          <w:rFonts w:eastAsia="MS Mincho" w:cs="Times New Roman" w:ascii="Times New Roman" w:hAnsi="Times New Roman"/>
          <w:color w:val="000000"/>
          <w:sz w:val="24"/>
          <w:szCs w:val="24"/>
          <w:shd w:fill="FFFFFF" w:val="clear"/>
          <w:lang w:bidi="pt-BR"/>
        </w:rPr>
        <w:br/>
        <w:t>Ordenador de Despesas do Parque Regional de Manutenção/7</w:t>
      </w:r>
    </w:p>
    <w:p>
      <w:pPr>
        <w:pStyle w:val="Normal"/>
        <w:spacing w:lineRule="auto" w:line="312" w:before="288" w:after="288"/>
        <w:ind w:firstLine="567"/>
        <w:rPr>
          <w:rFonts w:ascii="Arial" w:hAnsi="Arial" w:eastAsia="MS Mincho" w:cs="Arial"/>
          <w:color w:val="000000"/>
          <w:sz w:val="20"/>
          <w:szCs w:val="20"/>
        </w:rPr>
      </w:pPr>
      <w:r>
        <w:rPr>
          <w:rFonts w:eastAsia="MS Mincho" w:cs="Arial" w:ascii="Arial" w:hAnsi="Arial"/>
          <w:color w:val="000000"/>
          <w:sz w:val="20"/>
          <w:szCs w:val="20"/>
        </w:rPr>
      </w:r>
    </w:p>
    <w:p>
      <w:pPr>
        <w:pStyle w:val="Normal"/>
        <w:spacing w:lineRule="auto" w:line="312" w:before="288" w:after="288"/>
        <w:ind w:firstLine="567"/>
        <w:rPr>
          <w:rFonts w:ascii="Arial" w:hAnsi="Arial" w:eastAsia="MS Mincho" w:cs="Arial"/>
          <w:color w:val="000000"/>
          <w:sz w:val="20"/>
          <w:szCs w:val="20"/>
        </w:rPr>
      </w:pPr>
      <w:r>
        <w:rPr>
          <w:rFonts w:eastAsia="MS Mincho" w:cs="Arial" w:ascii="Arial" w:hAnsi="Arial"/>
          <w:color w:val="000000"/>
          <w:sz w:val="20"/>
          <w:szCs w:val="20"/>
        </w:rPr>
      </w:r>
    </w:p>
    <w:p>
      <w:pPr>
        <w:pStyle w:val="Normal"/>
        <w:spacing w:lineRule="auto" w:line="312" w:before="288" w:after="288"/>
        <w:ind w:firstLine="567"/>
        <w:jc w:val="center"/>
        <w:rPr>
          <w:rFonts w:ascii="Arial" w:hAnsi="Arial" w:cs="Arial"/>
        </w:rPr>
      </w:pPr>
      <w:r>
        <w:rPr/>
      </w:r>
      <w:bookmarkStart w:id="73" w:name="_Hlk82473550"/>
      <w:bookmarkStart w:id="74" w:name="_Hlk82473550"/>
      <w:bookmarkEnd w:id="74"/>
    </w:p>
    <w:sectPr>
      <w:headerReference w:type="default" r:id="rId30"/>
      <w:headerReference w:type="first" r:id="rId31"/>
      <w:footerReference w:type="default" r:id="rId32"/>
      <w:type w:val="nextPage"/>
      <w:pgSz w:w="11906" w:h="16838"/>
      <w:pgMar w:left="1134" w:right="1134" w:header="709" w:top="1418" w:footer="709" w:bottom="1418" w:gutter="0"/>
      <w:pgNumType w:fmt="decimal"/>
      <w:formProt w:val="false"/>
      <w:titlePg/>
      <w:textDirection w:val="lrTb"/>
      <w:docGrid w:type="default" w:linePitch="360" w:charSpace="0"/>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comment w:id="0"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A vedação de participação no processo licitatório de pessoas jurídicas reunidas em consórcio é exceção e essa opção deverá ser devidamente justificada pela Administração, nos termos do </w:t>
      </w:r>
      <w:r>
        <w:fldChar w:fldCharType="begin"/>
      </w:r>
      <w:r>
        <w:instrText> HYPERLINK "http://www.planalto.gov.br/ccivil_03/_ato2019-2022/2021/lei/L14133.htm" \l "art15"</w:instrText>
      </w:r>
      <w:r>
        <w:fldChar w:fldCharType="separate"/>
      </w:r>
      <w:r>
        <w:rPr>
          <w:rFonts w:ascii="Liberation Serif" w:hAnsi="Liberation Serif" w:eastAsia="Segoe UI"/>
          <w:i/>
          <w:iCs/>
          <w:color w:val="000000"/>
          <w:lang w:val="en-US" w:eastAsia="en-US" w:bidi="en-US"/>
        </w:rPr>
        <w:t>art. 15, caput, da Lei nº 14.133, de 2021.</w:t>
      </w:r>
      <w:r>
        <w:fldChar w:fldCharType="end"/>
      </w:r>
    </w:p>
  </w:comment>
  <w:comment w:id="1" w:author="Autor" w:date="0-00-00T00:00:00Z" w:initials="A">
    <w:p>
      <w:r>
        <w:rPr>
          <w:rFonts w:ascii="Liberation Serif" w:hAnsi="Liberation Serif" w:eastAsia="Segoe UI"/>
          <w:b/>
          <w:bCs/>
          <w:i/>
          <w:iCs/>
          <w:lang w:val="en-US" w:eastAsia="en-US" w:bidi="en-US"/>
        </w:rPr>
        <w:t>Nota explicativa</w:t>
      </w:r>
      <w:r>
        <w:rPr>
          <w:rFonts w:ascii="Liberation Serif" w:hAnsi="Liberation Serif" w:eastAsia="Segoe UI"/>
          <w:i/>
          <w:iCs/>
          <w:lang w:val="en-US" w:eastAsia="en-US" w:bidi="en-US"/>
        </w:rPr>
        <w:t xml:space="preserve">: </w:t>
      </w:r>
      <w:r>
        <w:rPr>
          <w:rFonts w:ascii="Liberation Serif" w:hAnsi="Liberation Serif" w:eastAsia="Segoe UI"/>
          <w:lang w:val="en-US" w:eastAsia="en-US" w:bidi="en-US"/>
        </w:rPr>
        <w:t>Conforme artigo 18, III, do Decreto nº 11.462, de 2023.</w:t>
      </w:r>
    </w:p>
  </w:comment>
  <w:comment w:id="2" w:author="Autor" w:date="0-00-00T00:00:00Z" w:initials="A">
    <w:p>
      <w:r>
        <w:rPr>
          <w:rFonts w:ascii="Liberation Serif" w:hAnsi="Liberation Serif" w:eastAsia="Segoe UI"/>
          <w:b/>
          <w:bCs/>
          <w:i/>
          <w:iCs/>
          <w:lang w:val="en-US" w:eastAsia="en-US" w:bidi="en-US"/>
        </w:rPr>
        <w:t>Nota explicativa</w:t>
      </w:r>
      <w:r>
        <w:rPr>
          <w:rFonts w:ascii="Liberation Serif" w:hAnsi="Liberation Serif" w:eastAsia="Segoe UI"/>
          <w:i/>
          <w:iCs/>
          <w:lang w:val="en-US" w:eastAsia="en-US" w:bidi="en-US"/>
        </w:rPr>
        <w:t xml:space="preserve">: </w:t>
      </w:r>
      <w:r>
        <w:rPr>
          <w:rFonts w:ascii="Liberation Serif" w:hAnsi="Liberation Serif" w:eastAsia="Segoe UI"/>
          <w:lang w:val="en-US" w:eastAsia="en-US" w:bidi="en-US"/>
        </w:rPr>
        <w:t>Conforme artigo 18, § 2º, do Decreto nº 11.462/23.</w:t>
      </w:r>
    </w:p>
  </w:comment>
  <w:comment w:id="3" w:author="Autor" w:date="0-00-00T00:00:00Z" w:initials="A">
    <w:p>
      <w:r>
        <w:rPr>
          <w:rFonts w:ascii="Liberation Serif" w:hAnsi="Liberation Serif" w:eastAsia="Segoe UI"/>
          <w:b/>
          <w:bCs/>
          <w:i/>
          <w:iCs/>
          <w:lang w:val="en-US" w:eastAsia="en-US" w:bidi="en-US"/>
        </w:rPr>
        <w:t>Nota explicativa</w:t>
      </w:r>
      <w:r>
        <w:rPr>
          <w:rFonts w:ascii="Liberation Serif" w:hAnsi="Liberation Serif" w:eastAsia="Segoe UI"/>
          <w:i/>
          <w:iCs/>
          <w:lang w:val="en-US" w:eastAsia="en-US" w:bidi="en-US"/>
        </w:rPr>
        <w:t xml:space="preserve">: </w:t>
      </w:r>
      <w:r>
        <w:rPr>
          <w:rFonts w:ascii="Liberation Serif" w:hAnsi="Liberation Serif" w:eastAsia="Segoe UI"/>
          <w:lang w:val="en-US" w:eastAsia="en-US" w:bidi="en-US"/>
        </w:rPr>
        <w:t>Conforme art. 20, parágrafo único, do Decreto nº 11.462/23.</w:t>
      </w:r>
    </w:p>
  </w:comment>
</w:comment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Ecofont_Spranq_eco_Sans">
    <w:charset w:val="00"/>
    <w:family w:val="roman"/>
    <w:pitch w:val="variable"/>
  </w:font>
  <w:font w:name="Calibri">
    <w:charset w:val="00"/>
    <w:family w:val="roman"/>
    <w:pitch w:val="variable"/>
  </w:font>
  <w:font w:name="Tahoma">
    <w:charset w:val="00"/>
    <w:family w:val="roman"/>
    <w:pitch w:val="variable"/>
  </w:font>
  <w:font w:name="Arial">
    <w:charset w:val="00"/>
    <w:family w:val="roman"/>
    <w:pitch w:val="variable"/>
  </w:font>
  <w:font w:name="Liberation Sans">
    <w:altName w:val="Arial"/>
    <w:charset w:val="00"/>
    <w:family w:val="swiss"/>
    <w:pitch w:val="variable"/>
  </w:font>
  <w:font w:name="Cambri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2057570318"/>
    </w:sdtPr>
    <w:sdtContent>
      <w:p>
        <w:pPr>
          <w:pStyle w:val="Rodap"/>
          <w:rPr>
            <w:color w:val="548DD4" w:themeColor="text2" w:themeTint="99"/>
            <w:spacing w:val="60"/>
            <w:sz w:val="16"/>
            <w:szCs w:val="16"/>
          </w:rPr>
        </w:pPr>
        <w:r>
          <w:rPr>
            <w:color w:val="548DD4" w:themeColor="text2" w:themeTint="99"/>
            <w:spacing w:val="60"/>
            <w:sz w:val="22"/>
            <w:szCs w:val="22"/>
          </w:rPr>
          <w:tab/>
          <w:tab/>
        </w:r>
      </w:p>
      <w:p>
        <w:pPr>
          <w:pStyle w:val="Rodap"/>
          <w:rPr>
            <w:rFonts w:ascii="Arial" w:hAnsi="Arial" w:cs="Arial"/>
            <w:color w:val="7F7F7F" w:themeColor="text1" w:themeTint="80"/>
            <w:sz w:val="18"/>
            <w:szCs w:val="18"/>
          </w:rPr>
        </w:pPr>
        <w:r>
          <w:rPr>
            <w:color w:val="7F7F7F" w:themeColor="text1" w:themeTint="80"/>
            <w:spacing w:val="60"/>
            <w:sz w:val="22"/>
            <w:szCs w:val="22"/>
          </w:rPr>
          <w:tab/>
          <w:tab/>
        </w:r>
        <w:r>
          <w:rPr>
            <w:rFonts w:cs="Arial" w:ascii="Arial" w:hAnsi="Arial"/>
            <w:color w:val="595959" w:themeColor="text1" w:themeTint="a6"/>
            <w:spacing w:val="60"/>
            <w:sz w:val="18"/>
            <w:szCs w:val="18"/>
          </w:rPr>
          <w:t>Página</w:t>
        </w:r>
        <w:r>
          <w:rPr>
            <w:rFonts w:cs="Arial" w:ascii="Arial" w:hAnsi="Arial"/>
            <w:color w:val="595959" w:themeColor="text1" w:themeTint="a6"/>
            <w:sz w:val="18"/>
            <w:szCs w:val="18"/>
          </w:rPr>
          <w:t xml:space="preserve"> </w:t>
        </w:r>
        <w:r>
          <w:rPr>
            <w:rFonts w:cs="Arial" w:ascii="Arial" w:hAnsi="Arial"/>
            <w:color w:val="595959" w:themeColor="text1" w:themeTint="a6"/>
            <w:sz w:val="18"/>
            <w:szCs w:val="18"/>
          </w:rPr>
          <w:fldChar w:fldCharType="begin"/>
        </w:r>
        <w:r>
          <w:rPr>
            <w:sz w:val="18"/>
            <w:szCs w:val="18"/>
            <w:rFonts w:cs="Arial" w:ascii="Arial" w:hAnsi="Arial"/>
            <w:color w:val="595959"/>
          </w:rPr>
          <w:instrText> PAGE </w:instrText>
        </w:r>
        <w:r>
          <w:rPr>
            <w:sz w:val="18"/>
            <w:szCs w:val="18"/>
            <w:rFonts w:cs="Arial" w:ascii="Arial" w:hAnsi="Arial"/>
            <w:color w:val="595959"/>
          </w:rPr>
          <w:fldChar w:fldCharType="separate"/>
        </w:r>
        <w:r>
          <w:rPr>
            <w:sz w:val="18"/>
            <w:szCs w:val="18"/>
            <w:rFonts w:cs="Arial" w:ascii="Arial" w:hAnsi="Arial"/>
            <w:color w:val="595959"/>
          </w:rPr>
          <w:t>21</w:t>
        </w:r>
        <w:r>
          <w:rPr>
            <w:sz w:val="18"/>
            <w:szCs w:val="18"/>
            <w:rFonts w:cs="Arial" w:ascii="Arial" w:hAnsi="Arial"/>
            <w:color w:val="595959"/>
          </w:rPr>
          <w:fldChar w:fldCharType="end"/>
        </w:r>
        <w:r>
          <w:rPr>
            <w:rFonts w:cs="Arial" w:ascii="Arial" w:hAnsi="Arial"/>
            <w:color w:val="595959" w:themeColor="text1" w:themeTint="a6"/>
            <w:sz w:val="18"/>
            <w:szCs w:val="18"/>
          </w:rPr>
          <w:t xml:space="preserve"> | </w:t>
        </w:r>
        <w:r>
          <w:rPr>
            <w:rFonts w:cs="Arial" w:ascii="Arial" w:hAnsi="Arial"/>
            <w:color w:val="595959" w:themeColor="text1" w:themeTint="a6"/>
            <w:sz w:val="18"/>
            <w:szCs w:val="18"/>
          </w:rPr>
          <w:fldChar w:fldCharType="begin"/>
        </w:r>
        <w:r>
          <w:rPr>
            <w:sz w:val="18"/>
            <w:szCs w:val="18"/>
            <w:rFonts w:cs="Arial" w:ascii="Arial" w:hAnsi="Arial"/>
            <w:color w:val="595959"/>
          </w:rPr>
          <w:instrText> NUMPAGES \* ARABIC </w:instrText>
        </w:r>
        <w:r>
          <w:rPr>
            <w:sz w:val="18"/>
            <w:szCs w:val="18"/>
            <w:rFonts w:cs="Arial" w:ascii="Arial" w:hAnsi="Arial"/>
            <w:color w:val="595959"/>
          </w:rPr>
          <w:fldChar w:fldCharType="separate"/>
        </w:r>
        <w:r>
          <w:rPr>
            <w:sz w:val="18"/>
            <w:szCs w:val="18"/>
            <w:rFonts w:cs="Arial" w:ascii="Arial" w:hAnsi="Arial"/>
            <w:color w:val="595959"/>
          </w:rPr>
          <w:t>22</w:t>
        </w:r>
        <w:r>
          <w:rPr>
            <w:sz w:val="18"/>
            <w:szCs w:val="18"/>
            <w:rFonts w:cs="Arial" w:ascii="Arial" w:hAnsi="Arial"/>
            <w:color w:val="595959"/>
          </w:rPr>
          <w:fldChar w:fldCharType="end"/>
        </w:r>
      </w:p>
      <w:p>
        <w:pPr>
          <w:pStyle w:val="Rodap"/>
          <w:rPr>
            <w:rFonts w:ascii="Arial" w:hAnsi="Arial" w:cs="Arial"/>
            <w:sz w:val="14"/>
            <w:szCs w:val="14"/>
          </w:rPr>
        </w:pPr>
        <w:r>
          <w:rPr>
            <w:rFonts w:cs="Arial" w:ascii="Arial" w:hAnsi="Arial"/>
            <w:sz w:val="14"/>
            <w:szCs w:val="14"/>
          </w:rPr>
          <w:t>Câmara Nacional de Modelos de Licitações e Contratos da Consultoria-Geral da União</w:t>
        </w:r>
      </w:p>
      <w:p>
        <w:pPr>
          <w:pStyle w:val="Rodap"/>
          <w:rPr>
            <w:rFonts w:ascii="Arial" w:hAnsi="Arial" w:cs="Arial"/>
            <w:sz w:val="14"/>
            <w:szCs w:val="14"/>
          </w:rPr>
        </w:pPr>
        <w:r>
          <w:rPr>
            <w:rFonts w:cs="Arial" w:ascii="Arial" w:hAnsi="Arial"/>
            <w:sz w:val="14"/>
            <w:szCs w:val="14"/>
          </w:rPr>
          <w:t>Atualização: maio/2023</w:t>
        </w:r>
        <w:bookmarkStart w:id="75" w:name="_Hlk135299665"/>
        <w:bookmarkEnd w:id="75"/>
      </w:p>
      <w:p>
        <w:pPr>
          <w:pStyle w:val="Rodap"/>
          <w:rPr>
            <w:rFonts w:ascii="Arial" w:hAnsi="Arial" w:cs="Arial"/>
            <w:sz w:val="14"/>
            <w:szCs w:val="14"/>
          </w:rPr>
        </w:pPr>
        <w:r>
          <w:rPr>
            <w:rFonts w:cs="Arial" w:ascii="Arial" w:hAnsi="Arial"/>
            <w:sz w:val="14"/>
            <w:szCs w:val="14"/>
          </w:rPr>
          <w:t xml:space="preserve">Edital modelo para Pregão Eletrônico </w:t>
        </w:r>
        <w:bookmarkStart w:id="76" w:name="_Hlk135299681"/>
        <w:r>
          <w:rPr>
            <w:rFonts w:cs="Arial" w:ascii="Arial" w:hAnsi="Arial"/>
            <w:sz w:val="14"/>
            <w:szCs w:val="14"/>
          </w:rPr>
          <w:t>- Lei nº 14.133, de 2021.</w:t>
        </w:r>
        <w:bookmarkEnd w:id="76"/>
      </w:p>
      <w:p>
        <w:pPr>
          <w:pStyle w:val="Rodap"/>
          <w:rPr>
            <w:rFonts w:ascii="Arial" w:hAnsi="Arial" w:cs="Arial"/>
            <w:sz w:val="14"/>
            <w:szCs w:val="14"/>
          </w:rPr>
        </w:pPr>
        <w:r>
          <w:rPr>
            <w:rFonts w:cs="Arial" w:ascii="Arial" w:hAnsi="Arial"/>
            <w:sz w:val="14"/>
            <w:szCs w:val="14"/>
          </w:rPr>
          <w:t>Aprovado pela Secretaria de Gestão e Inovação.</w:t>
        </w:r>
      </w:p>
      <w:p>
        <w:pPr>
          <w:pStyle w:val="Rodap"/>
          <w:rPr>
            <w:rFonts w:ascii="Arial" w:hAnsi="Arial" w:cs="Arial"/>
            <w:sz w:val="14"/>
            <w:szCs w:val="14"/>
          </w:rPr>
        </w:pPr>
        <w:r>
          <w:rPr>
            <w:rFonts w:cs="Arial" w:ascii="Arial" w:hAnsi="Arial"/>
            <w:sz w:val="14"/>
            <w:szCs w:val="14"/>
          </w:rPr>
          <w:t>Identidade visual pela Secretaria de Gestão e Inovação</w:t>
        </w:r>
        <w:bookmarkStart w:id="77" w:name="_Hlk135299703"/>
        <w:bookmarkEnd w:id="77"/>
      </w:p>
    </w:sdtContent>
  </w:sdt>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jc w:val="right"/>
      <w:rPr>
        <w:rFonts w:ascii="Arial" w:hAnsi="Arial" w:cs="Arial"/>
        <w:sz w:val="20"/>
        <w:szCs w:val="20"/>
      </w:rPr>
    </w:pPr>
    <w:r>
      <w:rPr>
        <w:rFonts w:cs="Arial" w:ascii="Arial" w:hAnsi="Arial"/>
        <w:sz w:val="20"/>
        <w:szCs w:val="20"/>
      </w:rPr>
      <w:t xml:space="preserve">EDITAL - PREGÃO ELETRÔNICO Nº </w:t>
    </w:r>
    <w:r>
      <w:rPr>
        <w:rFonts w:cs="Arial" w:ascii="Arial" w:hAnsi="Arial"/>
        <w:sz w:val="20"/>
        <w:szCs w:val="20"/>
        <w:lang w:eastAsia="pt-BR"/>
      </w:rPr>
      <w:t>03/2024</w:t>
    </w:r>
  </w:p>
  <w:p>
    <w:pPr>
      <w:pStyle w:val="Cabealho"/>
      <w:jc w:val="right"/>
      <w:rPr/>
    </w:pPr>
    <w:r>
      <w:rPr/>
    </w:r>
  </w:p>
  <w:p>
    <w:pPr>
      <w:pStyle w:val="Cabealho"/>
      <w:jc w:val="right"/>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rPr/>
    </w:pPr>
    <w:r>
      <w:rPr/>
      <w:drawing>
        <wp:anchor behindDoc="1" distT="0" distB="0" distL="0" distR="0" simplePos="0" locked="0" layoutInCell="0" allowOverlap="1" relativeHeight="2">
          <wp:simplePos x="0" y="0"/>
          <wp:positionH relativeFrom="column">
            <wp:posOffset>-662940</wp:posOffset>
          </wp:positionH>
          <wp:positionV relativeFrom="paragraph">
            <wp:posOffset>-450215</wp:posOffset>
          </wp:positionV>
          <wp:extent cx="7560310" cy="10692765"/>
          <wp:effectExtent l="0" t="0" r="0" b="0"/>
          <wp:wrapNone/>
          <wp:docPr id="1" name="Imagem 8" descr="Tex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8" descr="Texto&#10;&#10;Descrição gerada automaticamente com confiança média"/>
                  <pic:cNvPicPr>
                    <a:picLocks noChangeAspect="1" noChangeArrowheads="1"/>
                  </pic:cNvPicPr>
                </pic:nvPicPr>
                <pic:blipFill>
                  <a:blip r:embed="rId1"/>
                  <a:stretch>
                    <a:fillRect/>
                  </a:stretch>
                </pic:blipFill>
                <pic:spPr bwMode="auto">
                  <a:xfrm>
                    <a:off x="0" y="0"/>
                    <a:ext cx="7560310" cy="10692765"/>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szCs w:val="20"/>
        <w:color w:val="auto"/>
      </w:rPr>
    </w:lvl>
    <w:lvl w:ilvl="2">
      <w:start w:val="1"/>
      <w:numFmt w:val="decimal"/>
      <w:lvlText w:val="%1.%2.%3."/>
      <w:lvlJc w:val="left"/>
      <w:pPr>
        <w:tabs>
          <w:tab w:val="num" w:pos="0"/>
        </w:tabs>
        <w:ind w:left="1638" w:hanging="504"/>
      </w:pPr>
      <w:rPr>
        <w:dstrike w:val="false"/>
        <w:strike w:val="false"/>
        <w:sz w:val="20"/>
        <w:i w:val="false"/>
        <w:b/>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638"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638" w:hanging="504"/>
      </w:pPr>
      <w:rPr>
        <w:dstrike w:val="false"/>
        <w:strike w:val="false"/>
        <w:sz w:val="20"/>
        <w:i w:val="false"/>
        <w:b w:val="false"/>
        <w:szCs w:val="20"/>
        <w:rFonts w:ascii="Arial" w:hAnsi="Arial"/>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1"/>
    <w:lvlOverride w:ilvl="1">
      <w:lvl w:ilvl="1">
        <w:start w:val="1"/>
        <w:numFmt w:val="decimal"/>
        <w:lvlText w:val="%1.%2."/>
        <w:lvlJc w:val="left"/>
        <w:pPr>
          <w:tabs>
            <w:tab w:val="num" w:pos="0"/>
          </w:tabs>
          <w:ind w:left="999" w:hanging="432"/>
        </w:pPr>
        <w:rPr>
          <w:dstrike w:val="false"/>
          <w:strike w:val="false"/>
          <w:sz w:val="20"/>
          <w:i w:val="false"/>
          <w:u w:val="none"/>
          <w:b w:val="false"/>
          <w:szCs w:val="20"/>
          <w:color w:val="auto"/>
        </w:rPr>
      </w:lvl>
      <w:startOverride w:val="1"/>
    </w:lvlOverride>
    <w:lvlOverride w:ilvl="2">
      <w:lvl w:ilvl="2">
        <w:start w:val="1"/>
        <w:numFmt w:val="decimal"/>
        <w:lvlText w:val="%1.%2.%3."/>
        <w:lvlJc w:val="left"/>
        <w:pPr>
          <w:tabs>
            <w:tab w:val="num" w:pos="0"/>
          </w:tabs>
          <w:ind w:left="1638" w:hanging="504"/>
        </w:pPr>
        <w:rPr>
          <w:dstrike w:val="false"/>
          <w:strike w:val="false"/>
          <w:sz w:val="20"/>
          <w:i w:val="false"/>
          <w:b w:val="false"/>
          <w:szCs w:val="20"/>
          <w:rFonts w:ascii="Arial" w:hAnsi="Arial"/>
          <w:color w:val="auto"/>
        </w:rPr>
      </w:lvl>
    </w:lvlOverride>
  </w:num>
  <w:num w:numId="7">
    <w:abstractNumId w:val="1"/>
    <w:lvlOverride w:ilvl="1">
      <w:lvl w:ilvl="1">
        <w:start w:val="1"/>
        <w:numFmt w:val="decimal"/>
        <w:lvlText w:val="%1.%2."/>
        <w:lvlJc w:val="left"/>
        <w:pPr>
          <w:tabs>
            <w:tab w:val="num" w:pos="0"/>
          </w:tabs>
          <w:ind w:left="999" w:hanging="432"/>
        </w:pPr>
        <w:rPr>
          <w:dstrike w:val="false"/>
          <w:strike w:val="false"/>
          <w:sz w:val="20"/>
          <w:i w:val="false"/>
          <w:u w:val="none"/>
          <w:b w:val="false"/>
          <w:szCs w:val="20"/>
          <w:color w:val="auto"/>
        </w:rPr>
      </w:lvl>
    </w:lvlOverride>
    <w:lvlOverride w:ilvl="2">
      <w:lvl w:ilvl="2">
        <w:start w:val="1"/>
        <w:numFmt w:val="decimal"/>
        <w:lvlText w:val="%1.%2.%3."/>
        <w:lvlJc w:val="left"/>
        <w:pPr>
          <w:tabs>
            <w:tab w:val="num" w:pos="0"/>
          </w:tabs>
          <w:ind w:left="1638" w:hanging="504"/>
        </w:pPr>
        <w:rPr>
          <w:dstrike w:val="false"/>
          <w:strike w:val="false"/>
          <w:sz w:val="20"/>
          <w:i w:val="false"/>
          <w:b w:val="false"/>
          <w:szCs w:val="20"/>
          <w:rFonts w:ascii="Arial" w:hAnsi="Arial"/>
          <w:color w:val="auto"/>
        </w:rPr>
      </w:lvl>
      <w:startOverride w:val="1"/>
    </w:lvlOverride>
  </w:num>
  <w:num w:numId="8">
    <w:abstractNumId w:val="1"/>
    <w:lvlOverride w:ilvl="1">
      <w:lvl w:ilvl="1">
        <w:start w:val="1"/>
        <w:numFmt w:val="decimal"/>
        <w:lvlText w:val="%1.%2."/>
        <w:lvlJc w:val="left"/>
        <w:pPr>
          <w:tabs>
            <w:tab w:val="num" w:pos="0"/>
          </w:tabs>
          <w:ind w:left="999" w:hanging="432"/>
        </w:pPr>
        <w:rPr>
          <w:dstrike w:val="false"/>
          <w:strike w:val="false"/>
          <w:sz w:val="20"/>
          <w:i w:val="false"/>
          <w:u w:val="none"/>
          <w:b w:val="false"/>
          <w:szCs w:val="20"/>
          <w:color w:val="auto"/>
        </w:rPr>
      </w:lvl>
    </w:lvlOverride>
    <w:lvlOverride w:ilvl="2">
      <w:lvl w:ilvl="2">
        <w:start w:val="1"/>
        <w:numFmt w:val="decimal"/>
        <w:lvlText w:val="%1.%2.%3."/>
        <w:lvlJc w:val="left"/>
        <w:pPr>
          <w:tabs>
            <w:tab w:val="num" w:pos="0"/>
          </w:tabs>
          <w:ind w:left="1638" w:hanging="504"/>
        </w:pPr>
        <w:rPr>
          <w:dstrike w:val="false"/>
          <w:strike w:val="false"/>
          <w:sz w:val="20"/>
          <w:i w:val="false"/>
          <w:b w:val="false"/>
          <w:szCs w:val="20"/>
          <w:rFonts w:ascii="Arial" w:hAnsi="Arial"/>
          <w:color w:val="auto"/>
        </w:rPr>
      </w:lvl>
    </w:lvlOverride>
  </w:num>
</w:numbering>
</file>

<file path=word/settings.xml><?xml version="1.0" encoding="utf-8"?>
<w:settings xmlns:w="http://schemas.openxmlformats.org/wordprocessingml/2006/main">
  <w:zoom w:percent="100"/>
  <w:mirrorMargins/>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425"/>
  <w:themeFontLang w:val="pt-BR" w:eastAsia="ja-JP"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ＭＳ 明朝" w:cs="Times New Roman" w:eastAsiaTheme="minorEastAsia"/>
        <w:lang w:val="pt-BR" w:eastAsia="en-US" w:bidi="ar-SA"/>
      </w:rPr>
    </w:rPrDefault>
    <w:pPrDefault>
      <w:pPr>
        <w:suppressAutoHyphens w:val="true"/>
      </w:pPr>
    </w:pPrDefault>
  </w:docDefaults>
  <w:latentStyles w:defLockedState="0" w:defUIPriority="0" w:defSemiHidden="0" w:defUnhideWhenUsed="0" w:defQFormat="0" w:count="376">
    <w:lsdException w:name="heading 3" w:uiPriority="9" w:semiHidden="1" w:unhideWhenUsed="1" w:qFormat="1"/>
    <w:lsdException w:name="heading 4" w:semiHidden="1" w:unhideWhenUsed="1" w:qFormat="1"/>
    <w:lsdException w:name="heading 5" w:semiHidden="1" w:unhideWhenUsed="1" w:qFormat="1"/>
    <w:lsdException w:name="heading 6" w:uiPriority="9"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Theme" w:semiHidden="1" w:unhideWhenUsed="1"/>
    <w:lsdException w:name="Placeholder Text" w:uiPriority="67" w:semiHidden="1"/>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99" w:semiHidden="1"/>
    <w:lsdException w:name="List Paragraph" w:uiPriority="34"/>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ea3333"/>
    <w:pPr>
      <w:widowControl/>
      <w:bidi w:val="0"/>
      <w:spacing w:before="0" w:after="0"/>
      <w:jc w:val="left"/>
    </w:pPr>
    <w:rPr>
      <w:rFonts w:ascii="Ecofont_Spranq_eco_Sans" w:hAnsi="Ecofont_Spranq_eco_Sans" w:cs="Tahoma" w:eastAsia="ＭＳ 明朝" w:eastAsiaTheme="minorEastAsia"/>
      <w:color w:val="auto"/>
      <w:kern w:val="0"/>
      <w:sz w:val="24"/>
      <w:szCs w:val="24"/>
      <w:lang w:eastAsia="pt-BR" w:val="pt-BR" w:bidi="ar-SA"/>
    </w:rPr>
  </w:style>
  <w:style w:type="paragraph" w:styleId="Ttulo1">
    <w:name w:val="Heading 1"/>
    <w:basedOn w:val="Normal"/>
    <w:next w:val="Normal"/>
    <w:link w:val="Ttulo1Char"/>
    <w:qFormat/>
    <w:rsid w:val="007f77ad"/>
    <w:pPr>
      <w:keepNext w:val="true"/>
      <w:keepLines/>
      <w:spacing w:before="480" w:after="0"/>
      <w:outlineLvl w:val="0"/>
    </w:pPr>
    <w:rPr>
      <w:rFonts w:ascii="Calibri" w:hAnsi="Calibri" w:eastAsia="ＭＳ ゴシック" w:cs="Times New Roman" w:asciiTheme="majorHAnsi" w:cstheme="majorBidi" w:eastAsiaTheme="majorEastAsia" w:hAnsiTheme="majorHAnsi"/>
      <w:b/>
      <w:bCs/>
      <w:color w:val="365F91" w:themeColor="accent1" w:themeShade="bf"/>
      <w:sz w:val="28"/>
      <w:szCs w:val="28"/>
    </w:rPr>
  </w:style>
  <w:style w:type="paragraph" w:styleId="Ttulo2">
    <w:name w:val="Heading 2"/>
    <w:basedOn w:val="Normal"/>
    <w:next w:val="Normal"/>
    <w:link w:val="Ttulo2Char"/>
    <w:qFormat/>
    <w:rsid w:val="004b460a"/>
    <w:pPr>
      <w:keepNext w:val="true"/>
      <w:tabs>
        <w:tab w:val="clear" w:pos="708"/>
        <w:tab w:val="left" w:pos="1701" w:leader="none"/>
      </w:tabs>
      <w:ind w:right="-1" w:hanging="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b3192"/>
    <w:pPr>
      <w:keepNext w:val="true"/>
      <w:keepLines/>
      <w:spacing w:lineRule="auto" w:line="259" w:before="40" w:after="0"/>
      <w:outlineLvl w:val="2"/>
    </w:pPr>
    <w:rPr>
      <w:rFonts w:ascii="Calibri" w:hAnsi="Calibri" w:eastAsia="ＭＳ ゴシック" w:cs="Times New Roman" w:asciiTheme="majorHAnsi" w:cstheme="majorBidi" w:eastAsiaTheme="majorEastAsia" w:hAnsiTheme="majorHAnsi"/>
      <w:color w:val="243F60" w:themeColor="accent1" w:themeShade="7f"/>
      <w:lang w:eastAsia="en-US"/>
    </w:rPr>
  </w:style>
  <w:style w:type="paragraph" w:styleId="Ttulo4">
    <w:name w:val="Heading 4"/>
    <w:basedOn w:val="Normal"/>
    <w:next w:val="Normal"/>
    <w:link w:val="Ttulo4Char"/>
    <w:semiHidden/>
    <w:unhideWhenUsed/>
    <w:qFormat/>
    <w:rsid w:val="00a45a85"/>
    <w:pPr>
      <w:keepNext w:val="true"/>
      <w:keepLines/>
      <w:spacing w:before="40" w:after="0"/>
      <w:outlineLvl w:val="3"/>
    </w:pPr>
    <w:rPr>
      <w:rFonts w:ascii="Calibri" w:hAnsi="Calibri" w:eastAsia="ＭＳ ゴシック" w:cs="Times New Roman" w:asciiTheme="majorHAnsi" w:cstheme="majorBidi" w:eastAsiaTheme="majorEastAsia" w:hAnsiTheme="majorHAnsi"/>
      <w:i/>
      <w:iCs/>
      <w:color w:val="365F91" w:themeColor="accent1" w:themeShade="bf"/>
    </w:rPr>
  </w:style>
  <w:style w:type="paragraph" w:styleId="Ttulo6">
    <w:name w:val="Heading 6"/>
    <w:basedOn w:val="Normal"/>
    <w:next w:val="Normal"/>
    <w:link w:val="Ttulo6Char"/>
    <w:uiPriority w:val="9"/>
    <w:semiHidden/>
    <w:unhideWhenUsed/>
    <w:qFormat/>
    <w:rsid w:val="00cb3192"/>
    <w:pPr>
      <w:keepNext w:val="true"/>
      <w:keepLines/>
      <w:spacing w:lineRule="auto" w:line="259" w:before="40" w:after="0"/>
      <w:outlineLvl w:val="5"/>
    </w:pPr>
    <w:rPr>
      <w:rFonts w:ascii="Calibri" w:hAnsi="Calibri" w:eastAsia="ＭＳ ゴシック" w:cs="Times New Roman" w:asciiTheme="majorHAnsi" w:cstheme="majorBidi" w:eastAsiaTheme="majorEastAsia" w:hAnsiTheme="majorHAnsi"/>
      <w:color w:val="243F60" w:themeColor="accent1" w:themeShade="7f"/>
      <w:sz w:val="22"/>
      <w:szCs w:val="22"/>
      <w:lang w:eastAsia="en-US"/>
    </w:rPr>
  </w:style>
  <w:style w:type="character" w:styleId="DefaultParagraphFont" w:default="1">
    <w:name w:val="Default Paragraph Font"/>
    <w:uiPriority w:val="1"/>
    <w:semiHidden/>
    <w:unhideWhenUsed/>
    <w:qFormat/>
    <w:rPr/>
  </w:style>
  <w:style w:type="character" w:styleId="TextodebaloChar" w:customStyle="1">
    <w:name w:val="Texto de balão Char"/>
    <w:link w:val="Textodebalo"/>
    <w:uiPriority w:val="99"/>
    <w:qFormat/>
    <w:rsid w:val="003a73c1"/>
    <w:rPr>
      <w:rFonts w:ascii="Tahoma" w:hAnsi="Tahoma" w:cs="Tahoma"/>
      <w:sz w:val="16"/>
      <w:szCs w:val="16"/>
    </w:rPr>
  </w:style>
  <w:style w:type="character" w:styleId="Ttulo2Char" w:customStyle="1">
    <w:name w:val="Título 2 Char"/>
    <w:link w:val="Ttulo2"/>
    <w:qFormat/>
    <w:rsid w:val="004b460a"/>
    <w:rPr>
      <w:b/>
      <w:color w:val="000000"/>
      <w:sz w:val="24"/>
    </w:rPr>
  </w:style>
  <w:style w:type="character" w:styleId="Normalchar1" w:customStyle="1">
    <w:name w:val="normal__char1"/>
    <w:qFormat/>
    <w:rsid w:val="008d51cc"/>
    <w:rPr>
      <w:rFonts w:ascii="Arial" w:hAnsi="Arial" w:cs="Arial"/>
      <w:strike w:val="false"/>
      <w:dstrike w:val="false"/>
      <w:sz w:val="24"/>
      <w:szCs w:val="24"/>
      <w:u w:val="none"/>
      <w:effect w:val="none"/>
    </w:rPr>
  </w:style>
  <w:style w:type="character" w:styleId="Applestylespan" w:customStyle="1">
    <w:name w:val="apple-style-span"/>
    <w:basedOn w:val="DefaultParagraphFont"/>
    <w:qFormat/>
    <w:rsid w:val="00260802"/>
    <w:rPr/>
  </w:style>
  <w:style w:type="character" w:styleId="LinkdaInternet" w:customStyle="1">
    <w:name w:val="Link da Internet"/>
    <w:basedOn w:val="DefaultParagraphFont"/>
    <w:uiPriority w:val="99"/>
    <w:unhideWhenUsed/>
    <w:rsid w:val="00dc41dd"/>
    <w:rPr>
      <w:color w:val="0000FF" w:themeColor="hyperlink"/>
      <w:u w:val="single"/>
    </w:rPr>
  </w:style>
  <w:style w:type="character" w:styleId="CitaoChar" w:customStyle="1">
    <w:name w:val="Citação Char"/>
    <w:link w:val="Citao"/>
    <w:qFormat/>
    <w:rsid w:val="00080b53"/>
    <w:rPr>
      <w:rFonts w:ascii="Arial" w:hAnsi="Arial" w:eastAsia="Calibri" w:cs="Tahoma"/>
      <w:i/>
      <w:iCs/>
      <w:color w:val="000000"/>
      <w:szCs w:val="24"/>
      <w:shd w:fill="FFFFCC" w:val="clear"/>
    </w:rPr>
  </w:style>
  <w:style w:type="character" w:styleId="NotaexplicativaChar" w:customStyle="1">
    <w:name w:val="Nota explicativa Char"/>
    <w:basedOn w:val="CitaoChar"/>
    <w:link w:val="Notaexplicativa"/>
    <w:qFormat/>
    <w:rsid w:val="00265fb6"/>
    <w:rPr>
      <w:rFonts w:ascii="Arial" w:hAnsi="Arial" w:eastAsia="Calibri" w:cs="Tahoma"/>
      <w:i/>
      <w:iCs/>
      <w:color w:val="000000"/>
      <w:szCs w:val="24"/>
      <w:shd w:fill="FFFFCC" w:val="clear"/>
    </w:rPr>
  </w:style>
  <w:style w:type="character" w:styleId="CabealhoChar" w:customStyle="1">
    <w:name w:val="Cabeçalho Char"/>
    <w:link w:val="Cabealho"/>
    <w:qFormat/>
    <w:rsid w:val="00ca24fb"/>
    <w:rPr>
      <w:rFonts w:ascii="Ecofont_Spranq_eco_Sans" w:hAnsi="Ecofont_Spranq_eco_Sans" w:cs="Tahoma"/>
      <w:sz w:val="24"/>
      <w:szCs w:val="24"/>
    </w:rPr>
  </w:style>
  <w:style w:type="character" w:styleId="RodapChar" w:customStyle="1">
    <w:name w:val="Rodapé Char"/>
    <w:link w:val="Rodap"/>
    <w:uiPriority w:val="99"/>
    <w:qFormat/>
    <w:rsid w:val="00ca24fb"/>
    <w:rPr>
      <w:rFonts w:ascii="Ecofont_Spranq_eco_Sans" w:hAnsi="Ecofont_Spranq_eco_Sans" w:cs="Tahoma"/>
      <w:sz w:val="24"/>
      <w:szCs w:val="24"/>
    </w:rPr>
  </w:style>
  <w:style w:type="character" w:styleId="Annotationreference">
    <w:name w:val="annotation reference"/>
    <w:basedOn w:val="DefaultParagraphFont"/>
    <w:unhideWhenUsed/>
    <w:qFormat/>
    <w:rsid w:val="00430fdb"/>
    <w:rPr>
      <w:sz w:val="16"/>
      <w:szCs w:val="16"/>
    </w:rPr>
  </w:style>
  <w:style w:type="character" w:styleId="TextodecomentrioChar" w:customStyle="1">
    <w:name w:val="Texto de comentário Char"/>
    <w:basedOn w:val="DefaultParagraphFont"/>
    <w:link w:val="Textodecomentrio"/>
    <w:qFormat/>
    <w:rsid w:val="00430fdb"/>
    <w:rPr>
      <w:rFonts w:ascii="Ecofont_Spranq_eco_Sans" w:hAnsi="Ecofont_Spranq_eco_Sans" w:cs="Tahoma"/>
      <w:lang w:eastAsia="pt-BR"/>
    </w:rPr>
  </w:style>
  <w:style w:type="character" w:styleId="AssuntodocomentrioChar" w:customStyle="1">
    <w:name w:val="Assunto do comentário Char"/>
    <w:basedOn w:val="TextodecomentrioChar"/>
    <w:link w:val="Assuntodocomentrio"/>
    <w:semiHidden/>
    <w:qFormat/>
    <w:rsid w:val="00430fdb"/>
    <w:rPr>
      <w:rFonts w:ascii="Ecofont_Spranq_eco_Sans" w:hAnsi="Ecofont_Spranq_eco_Sans" w:cs="Tahoma"/>
      <w:b/>
      <w:bCs/>
      <w:lang w:eastAsia="pt-BR"/>
    </w:rPr>
  </w:style>
  <w:style w:type="character" w:styleId="Ttulo4Char" w:customStyle="1">
    <w:name w:val="Título 4 Char"/>
    <w:basedOn w:val="DefaultParagraphFont"/>
    <w:link w:val="Ttulo4"/>
    <w:qFormat/>
    <w:rsid w:val="00a45a85"/>
    <w:rPr>
      <w:rFonts w:ascii="Calibri" w:hAnsi="Calibri" w:eastAsia="ＭＳ ゴシック" w:cs="Times New Roman" w:asciiTheme="majorHAnsi" w:cstheme="majorBidi" w:eastAsiaTheme="majorEastAsia" w:hAnsiTheme="majorHAnsi"/>
      <w:i/>
      <w:iCs/>
      <w:color w:val="365F91" w:themeColor="accent1" w:themeShade="bf"/>
      <w:sz w:val="24"/>
      <w:szCs w:val="24"/>
      <w:lang w:eastAsia="pt-BR"/>
    </w:rPr>
  </w:style>
  <w:style w:type="character" w:styleId="TtuloChar" w:customStyle="1">
    <w:name w:val="Título Char"/>
    <w:basedOn w:val="DefaultParagraphFont"/>
    <w:link w:val="Ttulo"/>
    <w:qFormat/>
    <w:rsid w:val="007f77ad"/>
    <w:rPr>
      <w:rFonts w:ascii="Calibri" w:hAnsi="Calibri" w:eastAsia="ＭＳ ゴシック" w:cs="Times New Roman" w:asciiTheme="majorHAnsi" w:cstheme="majorBidi" w:eastAsiaTheme="majorEastAsia" w:hAnsiTheme="majorHAnsi"/>
      <w:color w:val="17365D" w:themeColor="text2" w:themeShade="bf"/>
      <w:spacing w:val="5"/>
      <w:kern w:val="2"/>
      <w:sz w:val="52"/>
      <w:szCs w:val="52"/>
      <w:lang w:eastAsia="pt-BR"/>
    </w:rPr>
  </w:style>
  <w:style w:type="character" w:styleId="Nivel01Char" w:customStyle="1">
    <w:name w:val="Nivel 01 Char"/>
    <w:basedOn w:val="TtuloChar"/>
    <w:link w:val="Nivel01"/>
    <w:qFormat/>
    <w:rsid w:val="00a974bd"/>
    <w:rPr>
      <w:rFonts w:ascii="Arial" w:hAnsi="Arial" w:eastAsia="ＭＳ ゴシック" w:cs="Arial" w:eastAsiaTheme="majorEastAsia"/>
      <w:b/>
      <w:bCs/>
      <w:color w:val="17365D" w:themeColor="text2" w:themeShade="bf"/>
      <w:spacing w:val="5"/>
      <w:kern w:val="2"/>
      <w:sz w:val="52"/>
      <w:szCs w:val="52"/>
      <w:lang w:eastAsia="pt-BR"/>
    </w:rPr>
  </w:style>
  <w:style w:type="character" w:styleId="Ttulo1Char" w:customStyle="1">
    <w:name w:val="Título 1 Char"/>
    <w:basedOn w:val="DefaultParagraphFont"/>
    <w:link w:val="Ttulo1"/>
    <w:qFormat/>
    <w:rsid w:val="007f77ad"/>
    <w:rPr>
      <w:rFonts w:ascii="Calibri" w:hAnsi="Calibri" w:eastAsia="ＭＳ ゴシック" w:cs="Times New Roman" w:asciiTheme="majorHAnsi" w:cstheme="majorBidi" w:eastAsiaTheme="majorEastAsia" w:hAnsiTheme="majorHAnsi"/>
      <w:b/>
      <w:bCs/>
      <w:color w:val="365F91" w:themeColor="accent1" w:themeShade="bf"/>
      <w:sz w:val="28"/>
      <w:szCs w:val="28"/>
      <w:lang w:eastAsia="pt-BR"/>
    </w:rPr>
  </w:style>
  <w:style w:type="character" w:styleId="Nivel01TituloChar" w:customStyle="1">
    <w:name w:val="Nivel_01_Titulo Char"/>
    <w:basedOn w:val="Nivel01Char"/>
    <w:link w:val="Nivel01Titulo"/>
    <w:qFormat/>
    <w:rsid w:val="00e967ea"/>
    <w:rPr>
      <w:rFonts w:ascii="Arial" w:hAnsi="Arial" w:eastAsia="ＭＳ ゴシック" w:cs="Times New Roman" w:cstheme="majorBidi" w:eastAsiaTheme="majorEastAsia"/>
      <w:b/>
      <w:bCs/>
      <w:color w:val="000000" w:themeColor="text1"/>
      <w:spacing w:val="5"/>
      <w:kern w:val="2"/>
      <w:sz w:val="52"/>
      <w:szCs w:val="52"/>
      <w:lang w:eastAsia="pt-BR"/>
    </w:rPr>
  </w:style>
  <w:style w:type="character" w:styleId="QuoteChar" w:customStyle="1">
    <w:name w:val="Quote Char"/>
    <w:basedOn w:val="DefaultParagraphFont"/>
    <w:link w:val="Citao1"/>
    <w:qFormat/>
    <w:rsid w:val="00b77761"/>
    <w:rPr>
      <w:rFonts w:ascii="Ecofont_Spranq_eco_Sans" w:hAnsi="Ecofont_Spranq_eco_Sans" w:eastAsia="Calibri" w:cs="Tahoma"/>
      <w:i/>
      <w:iCs/>
      <w:color w:val="000000"/>
      <w:shd w:fill="FFFFCC" w:val="clear"/>
    </w:rPr>
  </w:style>
  <w:style w:type="character" w:styleId="Normaltextrun" w:customStyle="1">
    <w:name w:val="normaltextrun"/>
    <w:basedOn w:val="DefaultParagraphFont"/>
    <w:qFormat/>
    <w:rsid w:val="0053119e"/>
    <w:rPr/>
  </w:style>
  <w:style w:type="character" w:styleId="Eop" w:customStyle="1">
    <w:name w:val="eop"/>
    <w:basedOn w:val="DefaultParagraphFont"/>
    <w:qFormat/>
    <w:rsid w:val="0053119e"/>
    <w:rPr/>
  </w:style>
  <w:style w:type="character" w:styleId="Spellingerror" w:customStyle="1">
    <w:name w:val="spellingerror"/>
    <w:basedOn w:val="DefaultParagraphFont"/>
    <w:qFormat/>
    <w:rsid w:val="0053119e"/>
    <w:rPr/>
  </w:style>
  <w:style w:type="character" w:styleId="CorpodetextoChar" w:customStyle="1">
    <w:name w:val="Corpo de texto Char"/>
    <w:basedOn w:val="DefaultParagraphFont"/>
    <w:link w:val="Corpodetexto"/>
    <w:qFormat/>
    <w:rsid w:val="00405763"/>
    <w:rPr>
      <w:rFonts w:eastAsia="Times New Roman"/>
      <w:sz w:val="24"/>
      <w:szCs w:val="24"/>
      <w:lang w:eastAsia="pt-BR"/>
    </w:rPr>
  </w:style>
  <w:style w:type="character" w:styleId="Nivel1Char" w:customStyle="1">
    <w:name w:val="Nivel1 Char"/>
    <w:basedOn w:val="Ttulo1Char"/>
    <w:link w:val="Nivel1"/>
    <w:qFormat/>
    <w:rsid w:val="001b6423"/>
    <w:rPr>
      <w:rFonts w:ascii="Arial" w:hAnsi="Arial" w:eastAsia="ＭＳ ゴシック" w:cs="Arial" w:eastAsiaTheme="majorEastAsia"/>
      <w:b/>
      <w:bCs w:val="false"/>
      <w:color w:val="000000"/>
      <w:sz w:val="28"/>
      <w:szCs w:val="28"/>
      <w:lang w:eastAsia="pt-BR"/>
    </w:rPr>
  </w:style>
  <w:style w:type="character" w:styleId="Nivel4Char" w:customStyle="1">
    <w:name w:val="Nivel 4 Char"/>
    <w:basedOn w:val="DefaultParagraphFont"/>
    <w:link w:val="Nivel4"/>
    <w:qFormat/>
    <w:rsid w:val="00447f3e"/>
    <w:rPr>
      <w:rFonts w:ascii="Arial" w:hAnsi="Arial" w:cs="Arial"/>
      <w:lang w:eastAsia="pt-BR"/>
    </w:rPr>
  </w:style>
  <w:style w:type="character" w:styleId="Cp0020corpodespachochar1" w:customStyle="1">
    <w:name w:val="cp_0020corpodespacho__char1"/>
    <w:qFormat/>
    <w:rsid w:val="00d30a43"/>
    <w:rPr>
      <w:rFonts w:ascii="Times New Roman" w:hAnsi="Times New Roman" w:cs="Times New Roman"/>
      <w:strike w:val="false"/>
      <w:dstrike w:val="false"/>
      <w:sz w:val="26"/>
      <w:szCs w:val="26"/>
      <w:u w:val="none"/>
      <w:effect w:val="none"/>
    </w:rPr>
  </w:style>
  <w:style w:type="character" w:styleId="Em0020ementachar1" w:customStyle="1">
    <w:name w:val="em_0020ementa__char1"/>
    <w:qFormat/>
    <w:rsid w:val="00d30a43"/>
    <w:rPr>
      <w:rFonts w:ascii="Times New Roman" w:hAnsi="Times New Roman" w:cs="Times New Roman"/>
      <w:strike w:val="false"/>
      <w:dstrike w:val="false"/>
      <w:sz w:val="28"/>
      <w:szCs w:val="28"/>
      <w:u w:val="none"/>
      <w:effect w:val="none"/>
    </w:rPr>
  </w:style>
  <w:style w:type="character" w:styleId="Strong">
    <w:name w:val="Strong"/>
    <w:basedOn w:val="DefaultParagraphFont"/>
    <w:uiPriority w:val="22"/>
    <w:qFormat/>
    <w:rsid w:val="00d30a43"/>
    <w:rPr>
      <w:b/>
      <w:bCs/>
    </w:rPr>
  </w:style>
  <w:style w:type="character" w:styleId="Nfase">
    <w:name w:val="Ênfase"/>
    <w:basedOn w:val="DefaultParagraphFont"/>
    <w:qFormat/>
    <w:rsid w:val="00d30a43"/>
    <w:rPr>
      <w:i/>
      <w:iCs/>
    </w:rPr>
  </w:style>
  <w:style w:type="character" w:styleId="Manoel" w:customStyle="1">
    <w:name w:val="Manoel"/>
    <w:qFormat/>
    <w:rsid w:val="00d30a43"/>
    <w:rPr>
      <w:rFonts w:ascii="Arial" w:hAnsi="Arial" w:cs="Arial"/>
      <w:color w:val="7030A0"/>
      <w:sz w:val="20"/>
    </w:rPr>
  </w:style>
  <w:style w:type="character" w:styleId="GradeColoridanfase1Char" w:customStyle="1">
    <w:name w:val="Grade Colorida - Ênfase 1 Char"/>
    <w:link w:val="GradeColorida-nfase11"/>
    <w:uiPriority w:val="29"/>
    <w:qFormat/>
    <w:rsid w:val="00d30a43"/>
    <w:rPr>
      <w:rFonts w:ascii="Arial" w:hAnsi="Arial" w:eastAsia="Calibri"/>
      <w:i/>
      <w:iCs/>
      <w:color w:val="000000"/>
      <w:szCs w:val="24"/>
      <w:shd w:fill="FFFFCC" w:val="clear"/>
    </w:rPr>
  </w:style>
  <w:style w:type="character" w:styleId="Highlight" w:customStyle="1">
    <w:name w:val="highlight"/>
    <w:basedOn w:val="DefaultParagraphFont"/>
    <w:qFormat/>
    <w:rsid w:val="00d30a43"/>
    <w:rPr/>
  </w:style>
  <w:style w:type="character" w:styleId="Linkdainternetvisitado">
    <w:name w:val="Link da internet visitado"/>
    <w:basedOn w:val="DefaultParagraphFont"/>
    <w:semiHidden/>
    <w:unhideWhenUsed/>
    <w:rsid w:val="00d30a43"/>
    <w:rPr>
      <w:color w:val="800080" w:themeColor="followedHyperlink"/>
      <w:u w:val="single"/>
    </w:rPr>
  </w:style>
  <w:style w:type="character" w:styleId="MenoPendente1" w:customStyle="1">
    <w:name w:val="Menção Pendente1"/>
    <w:basedOn w:val="DefaultParagraphFont"/>
    <w:uiPriority w:val="99"/>
    <w:semiHidden/>
    <w:unhideWhenUsed/>
    <w:qFormat/>
    <w:rsid w:val="00d30a43"/>
    <w:rPr>
      <w:color w:val="605E5C"/>
      <w:shd w:fill="E1DFDD" w:val="clear"/>
    </w:rPr>
  </w:style>
  <w:style w:type="character" w:styleId="MenoPendente2" w:customStyle="1">
    <w:name w:val="Menção Pendente2"/>
    <w:basedOn w:val="DefaultParagraphFont"/>
    <w:uiPriority w:val="99"/>
    <w:semiHidden/>
    <w:unhideWhenUsed/>
    <w:qFormat/>
    <w:rsid w:val="0063029c"/>
    <w:rPr>
      <w:color w:val="605E5C"/>
      <w:shd w:fill="E1DFDD" w:val="clear"/>
    </w:rPr>
  </w:style>
  <w:style w:type="character" w:styleId="Nivel2Char" w:customStyle="1">
    <w:name w:val="Nivel 2 Char"/>
    <w:basedOn w:val="DefaultParagraphFont"/>
    <w:link w:val="Nivel2"/>
    <w:qFormat/>
    <w:locked/>
    <w:rsid w:val="00447f3e"/>
    <w:rPr>
      <w:rFonts w:ascii="Arial" w:hAnsi="Arial" w:cs="Arial"/>
      <w:color w:val="000000"/>
      <w:lang w:eastAsia="pt-BR"/>
    </w:rPr>
  </w:style>
  <w:style w:type="character" w:styleId="Nvel2OpcionalChar" w:customStyle="1">
    <w:name w:val="Nível 2 Opcional Char"/>
    <w:basedOn w:val="DefaultParagraphFont"/>
    <w:link w:val="Nvel2Opcional"/>
    <w:qFormat/>
    <w:rsid w:val="00a831d9"/>
    <w:rPr>
      <w:rFonts w:ascii="Arial" w:hAnsi="Arial" w:eastAsia="Times New Roman" w:cs="Arial"/>
      <w:i/>
      <w:color w:val="FF0000"/>
      <w:lang w:eastAsia="pt-BR"/>
    </w:rPr>
  </w:style>
  <w:style w:type="character" w:styleId="Nvel3OpcionalChar" w:customStyle="1">
    <w:name w:val="Nível 3 Opcional Char"/>
    <w:basedOn w:val="DefaultParagraphFont"/>
    <w:link w:val="Nvel3Opcional"/>
    <w:qFormat/>
    <w:rsid w:val="00a831d9"/>
    <w:rPr>
      <w:rFonts w:ascii="Arial" w:hAnsi="Arial" w:eastAsia="Times New Roman" w:cs="Arial"/>
      <w:i/>
      <w:iCs/>
      <w:color w:val="FF0000"/>
      <w:lang w:eastAsia="pt-BR"/>
    </w:rPr>
  </w:style>
  <w:style w:type="character" w:styleId="PlaceholderText">
    <w:name w:val="Placeholder Text"/>
    <w:basedOn w:val="DefaultParagraphFont"/>
    <w:uiPriority w:val="67"/>
    <w:semiHidden/>
    <w:qFormat/>
    <w:rsid w:val="0029332d"/>
    <w:rPr>
      <w:color w:val="808080"/>
    </w:rPr>
  </w:style>
  <w:style w:type="character" w:styleId="PargrafodaListaChar" w:customStyle="1">
    <w:name w:val="Parágrafo da Lista Char"/>
    <w:basedOn w:val="DefaultParagraphFont"/>
    <w:link w:val="PargrafodaLista"/>
    <w:uiPriority w:val="34"/>
    <w:qFormat/>
    <w:rsid w:val="002430f2"/>
    <w:rPr>
      <w:rFonts w:ascii="Ecofont_Spranq_eco_Sans" w:hAnsi="Ecofont_Spranq_eco_Sans" w:cs="Tahoma"/>
      <w:sz w:val="24"/>
      <w:szCs w:val="24"/>
      <w:lang w:eastAsia="pt-BR"/>
    </w:rPr>
  </w:style>
  <w:style w:type="character" w:styleId="Ttulo3Char" w:customStyle="1">
    <w:name w:val="Título 3 Char"/>
    <w:basedOn w:val="DefaultParagraphFont"/>
    <w:link w:val="Ttulo3"/>
    <w:uiPriority w:val="9"/>
    <w:semiHidden/>
    <w:qFormat/>
    <w:rsid w:val="00cb3192"/>
    <w:rPr>
      <w:rFonts w:ascii="Calibri" w:hAnsi="Calibri" w:eastAsia="ＭＳ ゴシック" w:cs="Times New Roman" w:asciiTheme="majorHAnsi" w:cstheme="majorBidi" w:eastAsiaTheme="majorEastAsia" w:hAnsiTheme="majorHAnsi"/>
      <w:color w:val="243F60" w:themeColor="accent1" w:themeShade="7f"/>
      <w:sz w:val="24"/>
      <w:szCs w:val="24"/>
    </w:rPr>
  </w:style>
  <w:style w:type="character" w:styleId="Ttulo6Char" w:customStyle="1">
    <w:name w:val="Título 6 Char"/>
    <w:basedOn w:val="DefaultParagraphFont"/>
    <w:link w:val="Ttulo6"/>
    <w:uiPriority w:val="9"/>
    <w:semiHidden/>
    <w:qFormat/>
    <w:rsid w:val="00cb3192"/>
    <w:rPr>
      <w:rFonts w:ascii="Calibri" w:hAnsi="Calibri" w:eastAsia="ＭＳ ゴシック" w:cs="Times New Roman" w:asciiTheme="majorHAnsi" w:cstheme="majorBidi" w:eastAsiaTheme="majorEastAsia" w:hAnsiTheme="majorHAnsi"/>
      <w:color w:val="243F60" w:themeColor="accent1" w:themeShade="7f"/>
      <w:sz w:val="22"/>
      <w:szCs w:val="22"/>
    </w:rPr>
  </w:style>
  <w:style w:type="character" w:styleId="Markedcontent" w:customStyle="1">
    <w:name w:val="markedcontent"/>
    <w:basedOn w:val="DefaultParagraphFont"/>
    <w:qFormat/>
    <w:rsid w:val="00cb3192"/>
    <w:rPr/>
  </w:style>
  <w:style w:type="character" w:styleId="MenoPendente3" w:customStyle="1">
    <w:name w:val="Menção Pendente3"/>
    <w:basedOn w:val="DefaultParagraphFont"/>
    <w:uiPriority w:val="99"/>
    <w:semiHidden/>
    <w:unhideWhenUsed/>
    <w:qFormat/>
    <w:rsid w:val="00cb3192"/>
    <w:rPr>
      <w:color w:val="605E5C"/>
      <w:shd w:fill="E1DFDD" w:val="clear"/>
    </w:rPr>
  </w:style>
  <w:style w:type="character" w:styleId="MenoPendente4" w:customStyle="1">
    <w:name w:val="Menção Pendente4"/>
    <w:basedOn w:val="DefaultParagraphFont"/>
    <w:uiPriority w:val="99"/>
    <w:semiHidden/>
    <w:unhideWhenUsed/>
    <w:qFormat/>
    <w:rsid w:val="00cb3192"/>
    <w:rPr>
      <w:color w:val="605E5C"/>
      <w:shd w:fill="E1DFDD" w:val="clear"/>
    </w:rPr>
  </w:style>
  <w:style w:type="character" w:styleId="OuChar" w:customStyle="1">
    <w:name w:val="ou Char"/>
    <w:basedOn w:val="PargrafodaListaChar"/>
    <w:link w:val="ou"/>
    <w:qFormat/>
    <w:rsid w:val="00d14643"/>
    <w:rPr>
      <w:rFonts w:ascii="Arial" w:hAnsi="Arial" w:eastAsia="Cambria" w:cs="Arial" w:eastAsiaTheme="minorHAnsi"/>
      <w:b/>
      <w:bCs/>
      <w:i/>
      <w:iCs/>
      <w:color w:val="FF0000"/>
      <w:sz w:val="24"/>
      <w:szCs w:val="24"/>
      <w:u w:val="single"/>
      <w:lang w:eastAsia="pt-BR"/>
    </w:rPr>
  </w:style>
  <w:style w:type="character" w:styleId="Nvel2RedChar" w:customStyle="1">
    <w:name w:val="Nível 2 -Red Char"/>
    <w:basedOn w:val="Nivel2Char"/>
    <w:link w:val="Nvel2-Red"/>
    <w:qFormat/>
    <w:rsid w:val="00447f3e"/>
    <w:rPr>
      <w:rFonts w:ascii="Arial" w:hAnsi="Arial" w:cs="Arial"/>
      <w:i/>
      <w:iCs/>
      <w:color w:val="FF0000"/>
      <w:lang w:eastAsia="pt-BR"/>
    </w:rPr>
  </w:style>
  <w:style w:type="character" w:styleId="Nivel3Char" w:customStyle="1">
    <w:name w:val="Nivel 3 Char"/>
    <w:basedOn w:val="DefaultParagraphFont"/>
    <w:link w:val="Nivel3"/>
    <w:qFormat/>
    <w:rsid w:val="00447f3e"/>
    <w:rPr>
      <w:rFonts w:ascii="Arial" w:hAnsi="Arial" w:cs="Arial"/>
      <w:color w:val="000000"/>
      <w:lang w:eastAsia="pt-BR"/>
    </w:rPr>
  </w:style>
  <w:style w:type="character" w:styleId="Nvel3RChar" w:customStyle="1">
    <w:name w:val="Nível 3-R Char"/>
    <w:basedOn w:val="Nivel3Char"/>
    <w:link w:val="Nvel3-R"/>
    <w:qFormat/>
    <w:rsid w:val="00447f3e"/>
    <w:rPr>
      <w:rFonts w:ascii="Arial" w:hAnsi="Arial" w:cs="Arial"/>
      <w:i/>
      <w:iCs/>
      <w:color w:val="FF0000"/>
      <w:lang w:eastAsia="pt-BR"/>
    </w:rPr>
  </w:style>
  <w:style w:type="character" w:styleId="Nvel4RChar" w:customStyle="1">
    <w:name w:val="Nível 4-R Char"/>
    <w:basedOn w:val="Nivel4Char"/>
    <w:link w:val="Nvel4-R"/>
    <w:qFormat/>
    <w:rsid w:val="00447f3e"/>
    <w:rPr>
      <w:rFonts w:ascii="Arial" w:hAnsi="Arial" w:cs="Arial"/>
      <w:i/>
      <w:iCs/>
      <w:color w:val="FF0000"/>
      <w:lang w:eastAsia="pt-BR"/>
    </w:rPr>
  </w:style>
  <w:style w:type="character" w:styleId="Nvel1SemNumChar" w:customStyle="1">
    <w:name w:val="Nível 1-Sem Num Char"/>
    <w:basedOn w:val="Nivel01Char"/>
    <w:link w:val="Nvel1-SemNum"/>
    <w:qFormat/>
    <w:rsid w:val="00447f3e"/>
    <w:rPr>
      <w:rFonts w:ascii="Arial" w:hAnsi="Arial" w:eastAsia="ＭＳ ゴシック" w:cs="Arial" w:eastAsiaTheme="majorEastAsia"/>
      <w:b/>
      <w:bCs/>
      <w:color w:val="FF0000"/>
      <w:spacing w:val="5"/>
      <w:kern w:val="2"/>
      <w:sz w:val="52"/>
      <w:szCs w:val="52"/>
      <w:lang w:eastAsia="pt-BR"/>
    </w:rPr>
  </w:style>
  <w:style w:type="character" w:styleId="PrembuloChar" w:customStyle="1">
    <w:name w:val="Preâmbulo Char"/>
    <w:basedOn w:val="DefaultParagraphFont"/>
    <w:link w:val="Prembulo"/>
    <w:qFormat/>
    <w:rsid w:val="00bb19e4"/>
    <w:rPr>
      <w:rFonts w:ascii="Arial" w:hAnsi="Arial" w:eastAsia="Arial" w:cs="Arial"/>
      <w:bCs/>
      <w:lang w:eastAsia="pt-BR"/>
    </w:rPr>
  </w:style>
  <w:style w:type="character" w:styleId="MenoPendente5" w:customStyle="1">
    <w:name w:val="Menção Pendente5"/>
    <w:basedOn w:val="DefaultParagraphFont"/>
    <w:uiPriority w:val="99"/>
    <w:semiHidden/>
    <w:unhideWhenUsed/>
    <w:qFormat/>
    <w:rsid w:val="00e27aeb"/>
    <w:rPr>
      <w:color w:val="605E5C"/>
      <w:shd w:fill="E1DFDD" w:val="clear"/>
    </w:rPr>
  </w:style>
  <w:style w:type="character" w:styleId="Citao2Char" w:customStyle="1">
    <w:name w:val="citação 2 Char"/>
    <w:basedOn w:val="CitaoChar"/>
    <w:link w:val="citao2"/>
    <w:qFormat/>
    <w:rsid w:val="003c7a23"/>
    <w:rPr>
      <w:rFonts w:ascii="Arial" w:hAnsi="Arial" w:eastAsia="Calibri" w:cs="Tahoma"/>
      <w:i/>
      <w:iCs/>
      <w:color w:val="000000"/>
      <w:szCs w:val="24"/>
      <w:shd w:fill="FFFFCC" w:val="clear"/>
    </w:rPr>
  </w:style>
  <w:style w:type="character" w:styleId="MenoPendente6" w:customStyle="1">
    <w:name w:val="Menção Pendente6"/>
    <w:basedOn w:val="DefaultParagraphFont"/>
    <w:uiPriority w:val="99"/>
    <w:semiHidden/>
    <w:unhideWhenUsed/>
    <w:qFormat/>
    <w:rsid w:val="009944df"/>
    <w:rPr>
      <w:color w:val="605E5C"/>
      <w:shd w:fill="E1DFDD" w:val="clear"/>
    </w:rPr>
  </w:style>
  <w:style w:type="character" w:styleId="Mentionnonrsolue1" w:customStyle="1">
    <w:name w:val="Mention non résolue1"/>
    <w:basedOn w:val="DefaultParagraphFont"/>
    <w:uiPriority w:val="99"/>
    <w:semiHidden/>
    <w:unhideWhenUsed/>
    <w:qFormat/>
    <w:rsid w:val="009a0da5"/>
    <w:rPr>
      <w:color w:val="605E5C"/>
      <w:shd w:fill="E1DFDD" w:val="clear"/>
    </w:rPr>
  </w:style>
  <w:style w:type="character" w:styleId="Vnculodendice">
    <w:name w:val="Vínculo de índice"/>
    <w:qFormat/>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link w:val="CorpodetextoChar"/>
    <w:unhideWhenUsed/>
    <w:rsid w:val="00d30a43"/>
    <w:pPr>
      <w:spacing w:beforeAutospacing="1" w:afterAutospacing="1"/>
    </w:pPr>
    <w:rPr>
      <w:rFonts w:ascii="Times New Roman" w:hAnsi="Times New Roman" w:eastAsia="Times New Roman" w:cs="Times New Roman"/>
    </w:rPr>
  </w:style>
  <w:style w:type="paragraph" w:styleId="Lista">
    <w:name w:val="List"/>
    <w:basedOn w:val="Corpodo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istParagraph">
    <w:name w:val="List Paragraph"/>
    <w:basedOn w:val="Normal"/>
    <w:link w:val="PargrafodaListaChar"/>
    <w:uiPriority w:val="34"/>
    <w:qFormat/>
    <w:rsid w:val="004773fc"/>
    <w:pPr>
      <w:spacing w:before="0" w:after="0"/>
      <w:ind w:left="720" w:hanging="0"/>
      <w:contextualSpacing/>
    </w:pPr>
    <w:r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BalloonText">
    <w:name w:val="Balloon Text"/>
    <w:basedOn w:val="Normal"/>
    <w:link w:val="TextodebaloChar"/>
    <w:uiPriority w:val="99"/>
    <w:qFormat/>
    <w:rsid w:val="003a73c1"/>
    <w:pPr/>
    <w:rPr>
      <w:rFonts w:ascii="Tahoma" w:hAnsi="Tahoma"/>
      <w:sz w:val="16"/>
      <w:szCs w:val="16"/>
    </w:rPr>
  </w:style>
  <w:style w:type="paragraph" w:styleId="Nvel2" w:customStyle="1">
    <w:name w:val="Nível 2"/>
    <w:basedOn w:val="Normal"/>
    <w:next w:val="Normal"/>
    <w:qFormat/>
    <w:rsid w:val="00d30a43"/>
    <w:pPr>
      <w:spacing w:before="0" w:after="120"/>
      <w:jc w:val="both"/>
    </w:pPr>
    <w:rPr>
      <w:rFonts w:ascii="Arial" w:hAnsi="Arial" w:cs="Times New Roman"/>
      <w:b/>
      <w:szCs w:val="20"/>
    </w:rPr>
  </w:style>
  <w:style w:type="paragraph" w:styleId="Quote">
    <w:name w:val="Quote"/>
    <w:basedOn w:val="Normal"/>
    <w:next w:val="Normal"/>
    <w:link w:val="CitaoChar"/>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ascii="Arial" w:hAnsi="Arial" w:eastAsia="Calibri"/>
      <w:i/>
      <w:iCs/>
      <w:color w:val="000000"/>
      <w:sz w:val="20"/>
      <w:lang w:eastAsia="en-US"/>
    </w:rPr>
  </w:style>
  <w:style w:type="paragraph" w:styleId="ListBullet5">
    <w:name w:val="List Bullet 5"/>
    <w:basedOn w:val="Normal"/>
    <w:qFormat/>
    <w:rsid w:val="001a3a05"/>
    <w:pPr>
      <w:numPr>
        <w:ilvl w:val="0"/>
        <w:numId w:val="2"/>
      </w:numPr>
      <w:spacing w:before="0" w:after="0"/>
      <w:contextualSpacing/>
    </w:pPr>
    <w:rPr/>
  </w:style>
  <w:style w:type="paragraph" w:styleId="Notaexplicativa" w:customStyle="1">
    <w:name w:val="Nota explicativa"/>
    <w:basedOn w:val="Quote"/>
    <w:link w:val="NotaexplicativaChar"/>
    <w:qFormat/>
    <w:rsid w:val="00265fb6"/>
    <w:pPr>
      <w:shd w:fill="FFFFCC" w:val="clear"/>
    </w:pPr>
    <w:rPr>
      <w:szCs w:val="20"/>
    </w:rPr>
  </w:style>
  <w:style w:type="paragraph" w:styleId="CabealhoeRodap">
    <w:name w:val="Cabeçalho e Rodapé"/>
    <w:basedOn w:val="Normal"/>
    <w:qFormat/>
    <w:pPr/>
    <w:rPr/>
  </w:style>
  <w:style w:type="paragraph" w:styleId="Cabealho">
    <w:name w:val="Header"/>
    <w:basedOn w:val="Normal"/>
    <w:link w:val="CabealhoChar"/>
    <w:rsid w:val="00ca24fb"/>
    <w:pPr>
      <w:tabs>
        <w:tab w:val="clear" w:pos="708"/>
        <w:tab w:val="center" w:pos="4252" w:leader="none"/>
        <w:tab w:val="right" w:pos="8504" w:leader="none"/>
      </w:tabs>
    </w:pPr>
    <w:rPr/>
  </w:style>
  <w:style w:type="paragraph" w:styleId="Rodap">
    <w:name w:val="Footer"/>
    <w:basedOn w:val="Normal"/>
    <w:link w:val="RodapChar"/>
    <w:uiPriority w:val="99"/>
    <w:rsid w:val="00ca24fb"/>
    <w:pPr>
      <w:tabs>
        <w:tab w:val="clear" w:pos="708"/>
        <w:tab w:val="center" w:pos="4252" w:leader="none"/>
        <w:tab w:val="right" w:pos="8504" w:leader="none"/>
      </w:tabs>
    </w:pPr>
    <w:rPr/>
  </w:style>
  <w:style w:type="paragraph" w:styleId="Annotationtext">
    <w:name w:val="annotation text"/>
    <w:basedOn w:val="Normal"/>
    <w:link w:val="TextodecomentrioChar"/>
    <w:unhideWhenUsed/>
    <w:qFormat/>
    <w:rsid w:val="00d30a43"/>
    <w:pPr/>
    <w:rPr>
      <w:sz w:val="20"/>
      <w:szCs w:val="20"/>
    </w:rPr>
  </w:style>
  <w:style w:type="paragraph" w:styleId="Annotationsubject">
    <w:name w:val="annotation subject"/>
    <w:basedOn w:val="Annotationtext"/>
    <w:next w:val="Annotationtext"/>
    <w:link w:val="AssuntodocomentrioChar"/>
    <w:semiHidden/>
    <w:unhideWhenUsed/>
    <w:qFormat/>
    <w:rsid w:val="00430fdb"/>
    <w:pPr/>
    <w:rPr>
      <w:b/>
      <w:bCs/>
    </w:rPr>
  </w:style>
  <w:style w:type="paragraph" w:styleId="Nivel01" w:customStyle="1">
    <w:name w:val="Nivel 01"/>
    <w:basedOn w:val="Ttulo1"/>
    <w:next w:val="Normal"/>
    <w:link w:val="Nivel01Char"/>
    <w:autoRedefine/>
    <w:qFormat/>
    <w:rsid w:val="00a974bd"/>
    <w:pPr>
      <w:tabs>
        <w:tab w:val="clear" w:pos="708"/>
        <w:tab w:val="left" w:pos="567" w:leader="none"/>
      </w:tabs>
      <w:spacing w:lineRule="auto" w:line="312" w:before="117" w:after="117"/>
      <w:jc w:val="both"/>
    </w:pPr>
    <w:rPr>
      <w:rFonts w:ascii="Arial" w:hAnsi="Arial" w:cs="Arial"/>
      <w:color w:val="auto"/>
      <w:sz w:val="20"/>
      <w:szCs w:val="20"/>
    </w:rPr>
  </w:style>
  <w:style w:type="paragraph" w:styleId="Nivel01Titulo" w:customStyle="1">
    <w:name w:val="Nivel_01_Titulo"/>
    <w:basedOn w:val="Nivel01"/>
    <w:link w:val="Nivel01TituloChar"/>
    <w:qFormat/>
    <w:rsid w:val="00e967ea"/>
    <w:pPr>
      <w:jc w:val="left"/>
    </w:pPr>
    <w:rPr>
      <w:rFonts w:cs="Times New Roman" w:cstheme="majorBidi"/>
      <w:color w:val="000000" w:themeColor="text1"/>
      <w:spacing w:val="5"/>
      <w:kern w:val="2"/>
      <w:sz w:val="52"/>
      <w:szCs w:val="52"/>
    </w:rPr>
  </w:style>
  <w:style w:type="paragraph" w:styleId="Ttulododocumento">
    <w:name w:val="Title"/>
    <w:basedOn w:val="Normal"/>
    <w:next w:val="Normal"/>
    <w:link w:val="TtuloChar"/>
    <w:qFormat/>
    <w:rsid w:val="007f77ad"/>
    <w:pPr>
      <w:pBdr>
        <w:bottom w:val="single" w:sz="8" w:space="4" w:color="4F81BD"/>
      </w:pBdr>
      <w:spacing w:before="0" w:after="300"/>
      <w:contextualSpacing/>
    </w:pPr>
    <w:rPr>
      <w:rFonts w:ascii="Calibri" w:hAnsi="Calibri" w:eastAsia="ＭＳ ゴシック" w:cs="Times New Roman" w:asciiTheme="majorHAnsi" w:cstheme="majorBidi" w:eastAsiaTheme="majorEastAsia" w:hAnsiTheme="majorHAnsi"/>
      <w:color w:val="17365D" w:themeColor="text2" w:themeShade="bf"/>
      <w:spacing w:val="5"/>
      <w:kern w:val="2"/>
      <w:sz w:val="52"/>
      <w:szCs w:val="52"/>
    </w:rPr>
  </w:style>
  <w:style w:type="paragraph" w:styleId="PADRO" w:customStyle="1">
    <w:name w:val="PADRÃO"/>
    <w:qFormat/>
    <w:rsid w:val="001e2495"/>
    <w:pPr>
      <w:keepNext w:val="true"/>
      <w:widowControl w:val="false"/>
      <w:shd w:val="clear" w:color="auto" w:fill="FFFFFF"/>
      <w:bidi w:val="0"/>
      <w:spacing w:lineRule="auto" w:line="276" w:before="119" w:after="119"/>
      <w:ind w:firstLine="567"/>
      <w:jc w:val="both"/>
      <w:textAlignment w:val="baseline"/>
    </w:pPr>
    <w:rPr>
      <w:rFonts w:ascii="Ecofont_Spranq_eco_Sans" w:hAnsi="Ecofont_Spranq_eco_Sans" w:eastAsia="WenQuanYi Micro Hei" w:cs="Lohit Hindi"/>
      <w:color w:val="auto"/>
      <w:kern w:val="0"/>
      <w:sz w:val="20"/>
      <w:szCs w:val="24"/>
      <w:lang w:eastAsia="zh-CN" w:bidi="hi-IN" w:val="pt-BR"/>
    </w:rPr>
  </w:style>
  <w:style w:type="paragraph" w:styleId="Citao1" w:customStyle="1">
    <w:name w:val="Citação1"/>
    <w:basedOn w:val="Normal"/>
    <w:next w:val="Normal"/>
    <w:link w:val="QuoteChar"/>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eastAsia="Calibri"/>
      <w:i/>
      <w:iCs/>
      <w:color w:val="000000"/>
      <w:sz w:val="20"/>
      <w:szCs w:val="20"/>
      <w:lang w:eastAsia="en-US"/>
    </w:rPr>
  </w:style>
  <w:style w:type="paragraph" w:styleId="Paragraph" w:customStyle="1">
    <w:name w:val="paragraph"/>
    <w:basedOn w:val="Normal"/>
    <w:qFormat/>
    <w:rsid w:val="00d30a43"/>
    <w:pPr>
      <w:spacing w:beforeAutospacing="1" w:afterAutospacing="1"/>
    </w:pPr>
    <w:rPr>
      <w:rFonts w:ascii="Times New Roman" w:hAnsi="Times New Roman" w:eastAsia="Times New Roman" w:cs="Times New Roman"/>
    </w:rPr>
  </w:style>
  <w:style w:type="paragraph" w:styleId="Nivel1" w:customStyle="1">
    <w:name w:val="Nivel1"/>
    <w:basedOn w:val="Ttulo1"/>
    <w:link w:val="Nivel1Char"/>
    <w:qFormat/>
    <w:rsid w:val="00d30a43"/>
    <w:pPr>
      <w:spacing w:lineRule="auto" w:line="276"/>
      <w:ind w:left="357" w:hanging="357"/>
      <w:jc w:val="both"/>
    </w:pPr>
    <w:rPr>
      <w:rFonts w:ascii="Arial" w:hAnsi="Arial" w:cs="Arial"/>
      <w:bCs w:val="false"/>
      <w:color w:val="000000"/>
    </w:rPr>
  </w:style>
  <w:style w:type="paragraph" w:styleId="PargrafodaLista1" w:customStyle="1">
    <w:name w:val="Parágrafo da Lista1"/>
    <w:basedOn w:val="Normal"/>
    <w:qFormat/>
    <w:rsid w:val="00d30a43"/>
    <w:pPr>
      <w:ind w:left="720" w:hanging="0"/>
    </w:pPr>
    <w:rPr>
      <w:rFonts w:eastAsia="Times New Roman" w:cs="Ecofont_Spranq_eco_Sans"/>
    </w:rPr>
  </w:style>
  <w:style w:type="paragraph" w:styleId="Nivel2" w:customStyle="1">
    <w:name w:val="Nivel 2"/>
    <w:basedOn w:val="Normal"/>
    <w:link w:val="Nivel2Char"/>
    <w:qFormat/>
    <w:rsid w:val="00447f3e"/>
    <w:pPr>
      <w:numPr>
        <w:ilvl w:val="0"/>
        <w:numId w:val="1"/>
      </w:numPr>
      <w:spacing w:lineRule="auto" w:line="276" w:before="120" w:after="120"/>
      <w:ind w:left="0" w:hanging="0"/>
      <w:jc w:val="both"/>
    </w:pPr>
    <w:rPr>
      <w:rFonts w:ascii="Arial" w:hAnsi="Arial" w:cs="Arial"/>
      <w:color w:val="000000"/>
      <w:sz w:val="20"/>
      <w:szCs w:val="20"/>
    </w:rPr>
  </w:style>
  <w:style w:type="paragraph" w:styleId="Nivel11" w:customStyle="1">
    <w:name w:val="Nivel 1"/>
    <w:basedOn w:val="Nivel2"/>
    <w:next w:val="Nivel2"/>
    <w:qFormat/>
    <w:rsid w:val="003629e4"/>
    <w:pPr>
      <w:numPr>
        <w:ilvl w:val="0"/>
        <w:numId w:val="0"/>
      </w:numPr>
      <w:ind w:left="360" w:hanging="360"/>
    </w:pPr>
    <w:rPr>
      <w:b/>
    </w:rPr>
  </w:style>
  <w:style w:type="paragraph" w:styleId="Nivel3" w:customStyle="1">
    <w:name w:val="Nivel 3"/>
    <w:basedOn w:val="Normal"/>
    <w:link w:val="Nivel3Char"/>
    <w:qFormat/>
    <w:rsid w:val="00447f3e"/>
    <w:pPr>
      <w:numPr>
        <w:ilvl w:val="0"/>
        <w:numId w:val="1"/>
      </w:numPr>
      <w:spacing w:lineRule="auto" w:line="276" w:before="120" w:after="120"/>
      <w:ind w:left="284" w:hanging="0"/>
      <w:jc w:val="both"/>
    </w:pPr>
    <w:rPr>
      <w:rFonts w:ascii="Arial" w:hAnsi="Arial" w:cs="Arial"/>
      <w:color w:val="000000"/>
      <w:sz w:val="20"/>
      <w:szCs w:val="20"/>
    </w:rPr>
  </w:style>
  <w:style w:type="paragraph" w:styleId="Nivel4" w:customStyle="1">
    <w:name w:val="Nivel 4"/>
    <w:basedOn w:val="Nivel3"/>
    <w:link w:val="Nivel4Char"/>
    <w:qFormat/>
    <w:rsid w:val="00447f3e"/>
    <w:pPr>
      <w:ind w:left="567" w:hanging="0"/>
    </w:pPr>
    <w:rPr>
      <w:color w:val="auto"/>
    </w:rPr>
  </w:style>
  <w:style w:type="paragraph" w:styleId="Nivel5" w:customStyle="1">
    <w:name w:val="Nivel 5"/>
    <w:basedOn w:val="Nivel4"/>
    <w:qFormat/>
    <w:rsid w:val="00447f3e"/>
    <w:pPr>
      <w:ind w:left="851" w:hanging="0"/>
    </w:pPr>
    <w:rPr/>
  </w:style>
  <w:style w:type="paragraph" w:styleId="Textbody" w:customStyle="1">
    <w:name w:val="textbody"/>
    <w:basedOn w:val="Normal"/>
    <w:qFormat/>
    <w:rsid w:val="00d30a43"/>
    <w:pPr>
      <w:spacing w:beforeAutospacing="1" w:afterAutospacing="1"/>
    </w:pPr>
    <w:rPr>
      <w:rFonts w:ascii="Times New Roman" w:hAnsi="Times New Roman" w:eastAsia="Times New Roman" w:cs="Times New Roman"/>
    </w:rPr>
  </w:style>
  <w:style w:type="paragraph" w:styleId="Em0020ementa" w:customStyle="1">
    <w:name w:val="em_0020ementa"/>
    <w:basedOn w:val="Normal"/>
    <w:qFormat/>
    <w:rsid w:val="00d30a43"/>
    <w:pPr>
      <w:ind w:left="4160" w:hanging="0"/>
      <w:jc w:val="both"/>
    </w:pPr>
    <w:rPr>
      <w:rFonts w:ascii="Times New Roman" w:hAnsi="Times New Roman" w:eastAsia="Times New Roman" w:cs="Times New Roman"/>
      <w:sz w:val="28"/>
      <w:szCs w:val="28"/>
    </w:rPr>
  </w:style>
  <w:style w:type="paragraph" w:styleId="Revision">
    <w:name w:val="Revision"/>
    <w:uiPriority w:val="99"/>
    <w:semiHidden/>
    <w:qFormat/>
    <w:rsid w:val="00d30a43"/>
    <w:pPr>
      <w:widowControl/>
      <w:bidi w:val="0"/>
      <w:spacing w:before="0" w:after="0"/>
      <w:jc w:val="left"/>
    </w:pPr>
    <w:rPr>
      <w:rFonts w:ascii="Ecofont_Spranq_eco_Sans" w:hAnsi="Ecofont_Spranq_eco_Sans" w:eastAsia="Times New Roman" w:cs="Tahoma"/>
      <w:color w:val="auto"/>
      <w:kern w:val="0"/>
      <w:sz w:val="24"/>
      <w:szCs w:val="24"/>
      <w:lang w:eastAsia="pt-BR" w:val="pt-BR" w:bidi="ar-SA"/>
    </w:rPr>
  </w:style>
  <w:style w:type="paragraph" w:styleId="Texto1" w:customStyle="1">
    <w:name w:val="texto1"/>
    <w:basedOn w:val="Normal"/>
    <w:qFormat/>
    <w:rsid w:val="00d30a43"/>
    <w:pPr>
      <w:spacing w:beforeAutospacing="1" w:afterAutospacing="1"/>
    </w:pPr>
    <w:rPr>
      <w:rFonts w:ascii="Times New Roman" w:hAnsi="Times New Roman" w:eastAsia="Times New Roman" w:cs="Times New Roman"/>
    </w:rPr>
  </w:style>
  <w:style w:type="paragraph" w:styleId="GradeColoridanfase11" w:customStyle="1">
    <w:name w:val="Grade Colorida - Ênfase 11"/>
    <w:basedOn w:val="Normal"/>
    <w:next w:val="Normal"/>
    <w:link w:val="GradeColorida-nfase1Char"/>
    <w:uiPriority w:val="29"/>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ascii="Arial" w:hAnsi="Arial" w:eastAsia="Calibri" w:cs="Times New Roman"/>
      <w:i/>
      <w:iCs/>
      <w:color w:val="000000"/>
      <w:sz w:val="20"/>
      <w:lang w:eastAsia="en-US"/>
    </w:rPr>
  </w:style>
  <w:style w:type="paragraph" w:styleId="Xwestern" w:customStyle="1">
    <w:name w:val="x_western"/>
    <w:basedOn w:val="Normal"/>
    <w:qFormat/>
    <w:rsid w:val="00d30a43"/>
    <w:pPr>
      <w:spacing w:beforeAutospacing="1" w:afterAutospacing="1"/>
    </w:pPr>
    <w:rPr>
      <w:rFonts w:ascii="Times New Roman" w:hAnsi="Times New Roman" w:eastAsia="Times New Roman" w:cs="Times New Roman"/>
    </w:rPr>
  </w:style>
  <w:style w:type="paragraph" w:styleId="TCUAcitem90" w:customStyle="1">
    <w:name w:val="TCU - Ac - item 9 - §§_0"/>
    <w:basedOn w:val="Normal"/>
    <w:qFormat/>
    <w:rsid w:val="00d30a43"/>
    <w:pPr>
      <w:ind w:firstLine="1134"/>
      <w:jc w:val="both"/>
    </w:pPr>
    <w:rPr>
      <w:rFonts w:ascii="Times New Roman" w:hAnsi="Times New Roman" w:eastAsia="Times New Roman" w:cs="Times New Roman"/>
      <w:szCs w:val="22"/>
      <w:lang w:eastAsia="en-US"/>
    </w:rPr>
  </w:style>
  <w:style w:type="paragraph" w:styleId="Normal1" w:customStyle="1">
    <w:name w:val="Normal_1"/>
    <w:qFormat/>
    <w:rsid w:val="00d30a43"/>
    <w:pPr>
      <w:widowControl/>
      <w:bidi w:val="0"/>
      <w:spacing w:before="0" w:after="0"/>
      <w:jc w:val="left"/>
    </w:pPr>
    <w:rPr>
      <w:rFonts w:eastAsia="Times New Roman" w:ascii="Times New Roman" w:hAnsi="Times New Roman" w:cs="Times New Roman"/>
      <w:color w:val="auto"/>
      <w:kern w:val="0"/>
      <w:sz w:val="24"/>
      <w:szCs w:val="22"/>
      <w:lang w:val="pt-BR" w:eastAsia="en-US" w:bidi="ar-SA"/>
    </w:rPr>
  </w:style>
  <w:style w:type="paragraph" w:styleId="Tcuacitem91linha" w:customStyle="1">
    <w:name w:val="tcu_-__ac_-_item_9_-_1ª_linha"/>
    <w:basedOn w:val="Normal"/>
    <w:qFormat/>
    <w:rsid w:val="00d30a43"/>
    <w:pPr>
      <w:spacing w:beforeAutospacing="1" w:afterAutospacing="1"/>
    </w:pPr>
    <w:rPr>
      <w:rFonts w:ascii="Times New Roman" w:hAnsi="Times New Roman" w:eastAsia="Times New Roman" w:cs="Times New Roman"/>
    </w:rPr>
  </w:style>
  <w:style w:type="paragraph" w:styleId="Textojustificadorecuoprimeiralinha" w:customStyle="1">
    <w:name w:val="texto_justificado_recuo_primeira_linha"/>
    <w:basedOn w:val="Normal"/>
    <w:qFormat/>
    <w:rsid w:val="00d30a43"/>
    <w:pPr>
      <w:spacing w:beforeAutospacing="1" w:afterAutospacing="1"/>
    </w:pPr>
    <w:rPr>
      <w:rFonts w:ascii="Times New Roman" w:hAnsi="Times New Roman" w:eastAsia="Times New Roman" w:cs="Times New Roman"/>
    </w:rPr>
  </w:style>
  <w:style w:type="paragraph" w:styleId="Textojustificado" w:customStyle="1">
    <w:name w:val="texto_justificado"/>
    <w:basedOn w:val="Normal"/>
    <w:qFormat/>
    <w:rsid w:val="00d30a43"/>
    <w:pPr>
      <w:spacing w:beforeAutospacing="1" w:afterAutospacing="1"/>
    </w:pPr>
    <w:rPr>
      <w:rFonts w:ascii="Times New Roman" w:hAnsi="Times New Roman" w:eastAsia="Times New Roman" w:cs="Times New Roman"/>
    </w:rPr>
  </w:style>
  <w:style w:type="paragraph" w:styleId="Nvel2Opcional" w:customStyle="1">
    <w:name w:val="Nível 2 Opcional"/>
    <w:basedOn w:val="Nivel2"/>
    <w:link w:val="Nvel2OpcionalChar"/>
    <w:qFormat/>
    <w:rsid w:val="00a831d9"/>
    <w:pPr>
      <w:numPr>
        <w:ilvl w:val="0"/>
        <w:numId w:val="0"/>
      </w:numPr>
      <w:ind w:left="432" w:hanging="432"/>
    </w:pPr>
    <w:rPr>
      <w:rFonts w:eastAsia="Times New Roman"/>
      <w:i/>
      <w:color w:val="FF0000"/>
    </w:rPr>
  </w:style>
  <w:style w:type="paragraph" w:styleId="Nvel3Opcional" w:customStyle="1">
    <w:name w:val="Nível 3 Opcional"/>
    <w:basedOn w:val="Nivel3"/>
    <w:link w:val="Nvel3OpcionalChar"/>
    <w:qFormat/>
    <w:rsid w:val="00a831d9"/>
    <w:pPr>
      <w:numPr>
        <w:ilvl w:val="0"/>
        <w:numId w:val="0"/>
      </w:numPr>
      <w:ind w:left="1072" w:hanging="504"/>
    </w:pPr>
    <w:rPr>
      <w:rFonts w:eastAsia="Times New Roman"/>
      <w:i/>
      <w:iCs/>
      <w:color w:val="FF0000"/>
    </w:rPr>
  </w:style>
  <w:style w:type="paragraph" w:styleId="SombreamentoMdio1nfase31" w:customStyle="1">
    <w:name w:val="Sombreamento Médio 1 - Ênfase 31"/>
    <w:basedOn w:val="Normal"/>
    <w:next w:val="Normal"/>
    <w:qFormat/>
    <w:rsid w:val="00cb3192"/>
    <w:pPr>
      <w:pBdr>
        <w:top w:val="single" w:sz="4" w:space="1" w:color="000080"/>
        <w:left w:val="single" w:sz="4" w:space="4" w:color="000080"/>
        <w:bottom w:val="single" w:sz="4" w:space="1" w:color="000080"/>
        <w:right w:val="single" w:sz="4" w:space="4" w:color="000080"/>
      </w:pBdr>
      <w:shd w:val="clear" w:color="auto" w:fill="FFFFCC"/>
      <w:suppressAutoHyphens w:val="true"/>
      <w:spacing w:before="120" w:after="0"/>
      <w:jc w:val="both"/>
    </w:pPr>
    <w:rPr>
      <w:rFonts w:eastAsia="Calibri"/>
      <w:i/>
      <w:iCs/>
      <w:color w:val="000000"/>
      <w:sz w:val="20"/>
      <w:lang w:eastAsia="zh-CN"/>
    </w:rPr>
  </w:style>
  <w:style w:type="paragraph" w:styleId="Corpo" w:customStyle="1">
    <w:name w:val="corpo"/>
    <w:basedOn w:val="Normal"/>
    <w:qFormat/>
    <w:rsid w:val="00cb3192"/>
    <w:pPr>
      <w:spacing w:beforeAutospacing="1" w:afterAutospacing="1"/>
    </w:pPr>
    <w:rPr>
      <w:rFonts w:ascii="Times New Roman" w:hAnsi="Times New Roman" w:eastAsia="Times New Roman" w:cs="Times New Roman"/>
    </w:rPr>
  </w:style>
  <w:style w:type="paragraph" w:styleId="Itemnivel2" w:customStyle="1">
    <w:name w:val="item_nivel2"/>
    <w:basedOn w:val="Normal"/>
    <w:qFormat/>
    <w:rsid w:val="00cb3192"/>
    <w:pPr>
      <w:spacing w:beforeAutospacing="1" w:afterAutospacing="1"/>
    </w:pPr>
    <w:rPr>
      <w:rFonts w:ascii="Times New Roman" w:hAnsi="Times New Roman" w:eastAsia="Times New Roman" w:cs="Times New Roman"/>
    </w:rPr>
  </w:style>
  <w:style w:type="paragraph" w:styleId="Itemnivel1" w:customStyle="1">
    <w:name w:val="item_nivel1"/>
    <w:basedOn w:val="Normal"/>
    <w:qFormat/>
    <w:rsid w:val="00cb3192"/>
    <w:pPr>
      <w:spacing w:beforeAutospacing="1" w:afterAutospacing="1"/>
    </w:pPr>
    <w:rPr>
      <w:rFonts w:ascii="Times New Roman" w:hAnsi="Times New Roman" w:eastAsia="Times New Roman" w:cs="Times New Roman"/>
    </w:rPr>
  </w:style>
  <w:style w:type="paragraph" w:styleId="Itemalinealetra" w:customStyle="1">
    <w:name w:val="item_alinea_letra"/>
    <w:basedOn w:val="Normal"/>
    <w:qFormat/>
    <w:rsid w:val="00cb3192"/>
    <w:pPr>
      <w:spacing w:beforeAutospacing="1" w:afterAutospacing="1"/>
    </w:pPr>
    <w:rPr>
      <w:rFonts w:ascii="Times New Roman" w:hAnsi="Times New Roman" w:eastAsia="Times New Roman" w:cs="Times New Roman"/>
    </w:rPr>
  </w:style>
  <w:style w:type="paragraph" w:styleId="Standard" w:customStyle="1">
    <w:name w:val="Standard"/>
    <w:qFormat/>
    <w:rsid w:val="00cb3192"/>
    <w:pPr>
      <w:widowControl/>
      <w:suppressAutoHyphens w:val="true"/>
      <w:bidi w:val="0"/>
      <w:spacing w:before="0" w:after="0"/>
      <w:jc w:val="left"/>
    </w:pPr>
    <w:rPr>
      <w:rFonts w:ascii="Liberation Serif" w:hAnsi="Liberation Serif" w:eastAsia="NSimSun" w:cs="Lucida Sans"/>
      <w:color w:val="auto"/>
      <w:kern w:val="2"/>
      <w:sz w:val="24"/>
      <w:szCs w:val="24"/>
      <w:lang w:eastAsia="zh-CN" w:bidi="hi-IN" w:val="pt-BR"/>
    </w:rPr>
  </w:style>
  <w:style w:type="paragraph" w:styleId="Textbody1" w:customStyle="1">
    <w:name w:val="Text body"/>
    <w:basedOn w:val="Standard"/>
    <w:qFormat/>
    <w:rsid w:val="00cb3192"/>
    <w:pPr>
      <w:spacing w:lineRule="auto" w:line="276" w:before="0" w:after="140"/>
    </w:pPr>
    <w:rPr/>
  </w:style>
  <w:style w:type="paragraph" w:styleId="Ou" w:customStyle="1">
    <w:name w:val="ou"/>
    <w:basedOn w:val="ListParagraph"/>
    <w:link w:val="ouChar"/>
    <w:qFormat/>
    <w:rsid w:val="00d14643"/>
    <w:pPr>
      <w:spacing w:lineRule="auto" w:line="259" w:before="60" w:after="60"/>
      <w:ind w:left="0" w:hanging="0"/>
      <w:jc w:val="center"/>
    </w:pPr>
    <w:rPr>
      <w:rFonts w:ascii="Arial" w:hAnsi="Arial" w:eastAsia="Cambria" w:cs="Arial" w:eastAsiaTheme="minorHAnsi"/>
      <w:b/>
      <w:bCs/>
      <w:i/>
      <w:iCs/>
      <w:color w:val="FF0000"/>
      <w:u w:val="single"/>
    </w:rPr>
  </w:style>
  <w:style w:type="paragraph" w:styleId="Douparagraph" w:customStyle="1">
    <w:name w:val="dou-paragraph"/>
    <w:basedOn w:val="Normal"/>
    <w:qFormat/>
    <w:rsid w:val="00cb3192"/>
    <w:pPr>
      <w:spacing w:beforeAutospacing="1" w:afterAutospacing="1"/>
    </w:pPr>
    <w:rPr>
      <w:rFonts w:ascii="Times New Roman" w:hAnsi="Times New Roman" w:eastAsia="Times New Roman" w:cs="Times New Roman"/>
    </w:rPr>
  </w:style>
  <w:style w:type="paragraph" w:styleId="Nvel2Red" w:customStyle="1">
    <w:name w:val="Nível 2 -Red"/>
    <w:basedOn w:val="Nivel2"/>
    <w:link w:val="Nvel2-RedChar"/>
    <w:qFormat/>
    <w:rsid w:val="00447f3e"/>
    <w:pPr/>
    <w:rPr>
      <w:i/>
      <w:iCs/>
      <w:color w:val="FF0000"/>
    </w:rPr>
  </w:style>
  <w:style w:type="paragraph" w:styleId="Nvel3R" w:customStyle="1">
    <w:name w:val="Nível 3-R"/>
    <w:basedOn w:val="Nivel3"/>
    <w:link w:val="Nvel3-RChar"/>
    <w:qFormat/>
    <w:rsid w:val="00447f3e"/>
    <w:pPr/>
    <w:rPr>
      <w:i/>
      <w:iCs/>
      <w:color w:val="FF0000"/>
    </w:rPr>
  </w:style>
  <w:style w:type="paragraph" w:styleId="Nvel4R" w:customStyle="1">
    <w:name w:val="Nível 4-R"/>
    <w:basedOn w:val="Nivel4"/>
    <w:link w:val="Nvel4-RChar"/>
    <w:qFormat/>
    <w:rsid w:val="00447f3e"/>
    <w:pPr/>
    <w:rPr>
      <w:i/>
      <w:iCs/>
      <w:color w:val="FF0000"/>
    </w:rPr>
  </w:style>
  <w:style w:type="paragraph" w:styleId="Nvel1SemNum" w:customStyle="1">
    <w:name w:val="Nível 1-Sem Num"/>
    <w:basedOn w:val="Nivel01"/>
    <w:link w:val="Nvel1-SemNumChar"/>
    <w:qFormat/>
    <w:rsid w:val="00447f3e"/>
    <w:pPr>
      <w:outlineLvl w:val="1"/>
    </w:pPr>
    <w:rPr>
      <w:color w:val="FF0000"/>
    </w:rPr>
  </w:style>
  <w:style w:type="paragraph" w:styleId="Citao2" w:customStyle="1">
    <w:name w:val="citação 2"/>
    <w:basedOn w:val="Quote"/>
    <w:link w:val="citao2Char"/>
    <w:qFormat/>
    <w:rsid w:val="00dc41dd"/>
    <w:pPr>
      <w:shd w:fill="FFFFCC" w:val="clear"/>
      <w:overflowPunct w:val="true"/>
    </w:pPr>
    <w:rPr>
      <w:szCs w:val="20"/>
    </w:rPr>
  </w:style>
  <w:style w:type="paragraph" w:styleId="Prembulo" w:customStyle="1">
    <w:name w:val="Preâmbulo"/>
    <w:basedOn w:val="Normal"/>
    <w:link w:val="PrembuloChar"/>
    <w:qFormat/>
    <w:rsid w:val="00bb19e4"/>
    <w:pPr>
      <w:spacing w:lineRule="auto" w:line="360" w:before="480" w:after="120"/>
      <w:ind w:left="4253" w:right="-17" w:hanging="0"/>
      <w:jc w:val="both"/>
    </w:pPr>
    <w:rPr>
      <w:rFonts w:ascii="Arial" w:hAnsi="Arial" w:eastAsia="Arial" w:cs="Arial"/>
      <w:bCs/>
      <w:sz w:val="20"/>
      <w:szCs w:val="20"/>
    </w:rPr>
  </w:style>
  <w:style w:type="paragraph" w:styleId="TOCHeading">
    <w:name w:val="TOC Heading"/>
    <w:basedOn w:val="Ttulo1"/>
    <w:next w:val="Normal"/>
    <w:uiPriority w:val="39"/>
    <w:unhideWhenUsed/>
    <w:qFormat/>
    <w:rsid w:val="003f579d"/>
    <w:pPr>
      <w:spacing w:lineRule="auto" w:line="259" w:before="240" w:after="0"/>
    </w:pPr>
    <w:rPr>
      <w:b w:val="false"/>
      <w:bCs w:val="false"/>
      <w:sz w:val="32"/>
      <w:szCs w:val="32"/>
    </w:rPr>
  </w:style>
  <w:style w:type="paragraph" w:styleId="Sumrio1">
    <w:name w:val="TOC 1"/>
    <w:basedOn w:val="Normal"/>
    <w:next w:val="Normal"/>
    <w:autoRedefine/>
    <w:uiPriority w:val="39"/>
    <w:unhideWhenUsed/>
    <w:rsid w:val="00805832"/>
    <w:pPr>
      <w:tabs>
        <w:tab w:val="clear" w:pos="708"/>
        <w:tab w:val="left" w:pos="426" w:leader="none"/>
        <w:tab w:val="right" w:pos="9628" w:leader="dot"/>
      </w:tabs>
      <w:spacing w:before="0" w:after="100"/>
    </w:pPr>
    <w:rPr>
      <w:rFonts w:ascii="Arial" w:hAnsi="Arial" w:eastAsia="Times New Roman"/>
      <w:sz w:val="20"/>
    </w:rPr>
  </w:style>
  <w:style w:type="paragraph" w:styleId="Padro1">
    <w:name w:val="Padrão"/>
    <w:qFormat/>
    <w:pPr>
      <w:widowControl/>
      <w:tabs>
        <w:tab w:val="left" w:pos="708" w:leader="none"/>
      </w:tabs>
      <w:suppressAutoHyphens w:val="true"/>
      <w:bidi w:val="0"/>
      <w:spacing w:before="0" w:after="0"/>
      <w:jc w:val="left"/>
    </w:pPr>
    <w:rPr>
      <w:rFonts w:ascii="Ecofont_Spranq_eco_Sans" w:hAnsi="Ecofont_Spranq_eco_Sans" w:eastAsia="Times New Roman" w:cs="Tahoma"/>
      <w:color w:val="00000A"/>
      <w:kern w:val="0"/>
      <w:sz w:val="24"/>
      <w:szCs w:val="24"/>
      <w:lang w:val="pt-BR" w:eastAsia="pt-BR" w:bidi="ar-SA"/>
    </w:rPr>
  </w:style>
  <w:style w:type="numbering" w:styleId="NoList" w:default="1">
    <w:name w:val="No List"/>
    <w:uiPriority w:val="99"/>
    <w:semiHidden/>
    <w:unhideWhenUsed/>
    <w:qFormat/>
  </w:style>
  <w:style w:type="numbering" w:styleId="Estilo1" w:customStyle="1">
    <w:name w:val="Estilo1"/>
    <w:uiPriority w:val="99"/>
    <w:qFormat/>
    <w:rsid w:val="008c6874"/>
  </w:style>
  <w:style w:type="numbering" w:styleId="Estilo2" w:customStyle="1">
    <w:name w:val="Estilo2"/>
    <w:uiPriority w:val="99"/>
    <w:qFormat/>
    <w:rsid w:val="00a72b79"/>
  </w:style>
  <w:style w:type="numbering" w:styleId="Estilo3" w:customStyle="1">
    <w:name w:val="Estilo3"/>
    <w:uiPriority w:val="99"/>
    <w:qFormat/>
    <w:rsid w:val="00a72b79"/>
  </w:style>
  <w:style w:type="numbering" w:styleId="Estilo4" w:customStyle="1">
    <w:name w:val="Estilo4"/>
    <w:uiPriority w:val="99"/>
    <w:qFormat/>
    <w:rsid w:val="0054016d"/>
  </w:style>
  <w:style w:type="numbering" w:styleId="Estilo5" w:customStyle="1">
    <w:name w:val="Estilo5"/>
    <w:uiPriority w:val="99"/>
    <w:qFormat/>
    <w:rsid w:val="0054016d"/>
  </w:style>
  <w:style w:type="numbering" w:styleId="Estilo6" w:customStyle="1">
    <w:name w:val="Estilo6"/>
    <w:uiPriority w:val="99"/>
    <w:qFormat/>
    <w:rsid w:val="0054016d"/>
  </w:style>
  <w:style w:type="table" w:default="1" w:styleId="Tabelanormal">
    <w:name w:val="Normal Table"/>
    <w:uiPriority w:val="99"/>
    <w:semiHidden/>
    <w:unhideWhenUsed/>
    <w:tblPr>
      <w:tblCellMar>
        <w:top w:w="0" w:type="dxa"/>
        <w:left w:w="108" w:type="dxa"/>
        <w:bottom w:w="0" w:type="dxa"/>
        <w:right w:w="108" w:type="dxa"/>
      </w:tblCellMar>
    </w:tblPr>
  </w:style>
  <w:style w:type="table" w:styleId="Tabelacomgrade">
    <w:name w:val="Table Grid"/>
    <w:basedOn w:val="Tabelanormal"/>
    <w:rsid w:val="00db542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oleObject" Target="embeddings/oleObject1.bin"/><Relationship Id="rId3" Type="http://schemas.openxmlformats.org/officeDocument/2006/relationships/image" Target="media/image1.png"/><Relationship Id="rId4" Type="http://schemas.openxmlformats.org/officeDocument/2006/relationships/hyperlink" Target="http://www.planalto.gov.br/ccivil_03/_ato2019-2022/2021/lei/L14133.htm" TargetMode="External"/><Relationship Id="rId5" Type="http://schemas.openxmlformats.org/officeDocument/2006/relationships/hyperlink" Target="http://www.gov.br/compras" TargetMode="External"/><Relationship Id="rId6" Type="http://schemas.openxmlformats.org/officeDocument/2006/relationships/hyperlink" Target="https://www.planalto.gov.br/ccivil_03/leis/lcp/lcp123.htm" TargetMode="External"/><Relationship Id="rId7" Type="http://schemas.openxmlformats.org/officeDocument/2006/relationships/hyperlink" Target="https://www.planalto.gov.br/ccivil_03/leis/lcp/lcp123.htm" TargetMode="External"/><Relationship Id="rId8" Type="http://schemas.openxmlformats.org/officeDocument/2006/relationships/hyperlink" Target="http://www.planalto.gov.br/ccivil_03/_ato2019-2022/2021/lei/L14133.htm" TargetMode="External"/><Relationship Id="rId9" Type="http://schemas.openxmlformats.org/officeDocument/2006/relationships/hyperlink" Target="https://www.planalto.gov.br/ccivil_03/constituicao/constituicaocompilado.htm" TargetMode="External"/><Relationship Id="rId10" Type="http://schemas.openxmlformats.org/officeDocument/2006/relationships/hyperlink" Target="https://www.planalto.gov.br/ccivil_03/leis/lcp/lcp123.htm" TargetMode="External"/><Relationship Id="rId11" Type="http://schemas.openxmlformats.org/officeDocument/2006/relationships/hyperlink" Target="http://www.planalto.gov.br/ccivil_03/_ato2019-2022/2021/lei/L14133.htm" TargetMode="External"/><Relationship Id="rId12" Type="http://schemas.openxmlformats.org/officeDocument/2006/relationships/hyperlink" Target="https://www.planalto.gov.br/ccivil_03/constituicao/constituicaocompilado.htm" TargetMode="External"/><Relationship Id="rId13" Type="http://schemas.openxmlformats.org/officeDocument/2006/relationships/hyperlink" Target="https://www.planalto.gov.br/ccivil_03/_ato2015-2018/2015/decreto/d8539.htm" TargetMode="External"/><Relationship Id="rId14" Type="http://schemas.openxmlformats.org/officeDocument/2006/relationships/hyperlink" Target="https://www.portaltransparencia.gov.br/sancoes/ceis" TargetMode="External"/><Relationship Id="rId15" Type="http://schemas.openxmlformats.org/officeDocument/2006/relationships/hyperlink" Target="https://www.portaltransparencia.gov.br/sancoes/cnep" TargetMode="External"/><Relationship Id="rId16" Type="http://schemas.openxmlformats.org/officeDocument/2006/relationships/hyperlink" Target="https://www.gov.br/compras/pt-br/acesso-a-informacao/legislacao/instrucoes-normativas/instrucao-normativa-no-3-de-26-de-abril-de-2018" TargetMode="External"/><Relationship Id="rId17" Type="http://schemas.openxmlformats.org/officeDocument/2006/relationships/hyperlink" Target="https://www.gov.br/compras/pt-br/acesso-a-informacao/legislacao/instrucoes-normativas/instrucao-normativa-no-3-de-26-de-abril-de-2018" TargetMode="External"/><Relationship Id="rId18" Type="http://schemas.openxmlformats.org/officeDocument/2006/relationships/hyperlink" Target="https://www.planalto.gov.br/ccivil_03/_ato2015-2018/2016/decreto/d8660.htm" TargetMode="External"/><Relationship Id="rId19" Type="http://schemas.openxmlformats.org/officeDocument/2006/relationships/hyperlink" Target="mailto:licitaparque7@gmail.com" TargetMode="External"/><Relationship Id="rId20" Type="http://schemas.openxmlformats.org/officeDocument/2006/relationships/hyperlink" Target="https://www.gov.br/compras/pt-br/acesso-a-informacao/legislacao/instrucoes-normativas/instrucao-normativa-no-3-de-26-de-abril-de-2018" TargetMode="External"/><Relationship Id="rId21" Type="http://schemas.openxmlformats.org/officeDocument/2006/relationships/hyperlink" Target="https://www.gov.br/compras/pt-br/acesso-a-informacao/legislacao/instrucoes-normativas/instrucao-normativa-no-3-de-26-de-abril-de-2018" TargetMode="External"/><Relationship Id="rId22" Type="http://schemas.openxmlformats.org/officeDocument/2006/relationships/hyperlink" Target="https://www.gov.br/compras/pt-br/acesso-a-informacao/legislacao/instrucoes-normativas/instrucao-normativa-seges-me-no-73-de-30-de-setembro-de-2022" TargetMode="External"/><Relationship Id="rId23" Type="http://schemas.openxmlformats.org/officeDocument/2006/relationships/hyperlink" Target="https://www.gov.br/compras/pt-br/acesso-a-informacao/legislacao/instrucoes-normativas/instrucao-normativa-seges-me-no-73-de-30-de-setembro-de-2022" TargetMode="External"/><Relationship Id="rId24" Type="http://schemas.openxmlformats.org/officeDocument/2006/relationships/hyperlink" Target="mailto:licitaparque7@gmail.com" TargetMode="External"/><Relationship Id="rId25" Type="http://schemas.openxmlformats.org/officeDocument/2006/relationships/hyperlink" Target="http://www.planalto.gov.br/ccivil_03/_ato2019-2022/2021/lei/L14133.htm" TargetMode="External"/><Relationship Id="rId26" Type="http://schemas.openxmlformats.org/officeDocument/2006/relationships/hyperlink" Target="https://www.gov.br/compras/pt-br/acesso-a-informacao/legislacao/instrucoes-normativas/instrucao-normativa-seges-me-no-73-de-30-de-setembro-de-2022" TargetMode="External"/><Relationship Id="rId27" Type="http://schemas.openxmlformats.org/officeDocument/2006/relationships/hyperlink" Target="http://www.planalto.gov.br/ccivil_03/_ato2019-2022/2021/lei/L14133.htm" TargetMode="External"/><Relationship Id="rId28" Type="http://schemas.openxmlformats.org/officeDocument/2006/relationships/hyperlink" Target="mailto:licitaparque7@gmail.com" TargetMode="External"/><Relationship Id="rId29" Type="http://schemas.openxmlformats.org/officeDocument/2006/relationships/hyperlink" Target="mailto:licitaparque7@gmail.com" TargetMode="External"/><Relationship Id="rId30" Type="http://schemas.openxmlformats.org/officeDocument/2006/relationships/header" Target="header1.xml"/><Relationship Id="rId31" Type="http://schemas.openxmlformats.org/officeDocument/2006/relationships/header" Target="header2.xml"/><Relationship Id="rId32" Type="http://schemas.openxmlformats.org/officeDocument/2006/relationships/footer" Target="footer1.xml"/><Relationship Id="rId33" Type="http://schemas.openxmlformats.org/officeDocument/2006/relationships/comments" Target="comments.xml"/><Relationship Id="rId34" Type="http://schemas.openxmlformats.org/officeDocument/2006/relationships/numbering" Target="numbering.xml"/><Relationship Id="rId35" Type="http://schemas.openxmlformats.org/officeDocument/2006/relationships/fontTable" Target="fontTable.xml"/><Relationship Id="rId36" Type="http://schemas.openxmlformats.org/officeDocument/2006/relationships/settings" Target="settings.xml"/><Relationship Id="rId37" Type="http://schemas.openxmlformats.org/officeDocument/2006/relationships/theme" Target="theme/theme1.xml"/><Relationship Id="rId38" Type="http://schemas.openxmlformats.org/officeDocument/2006/relationships/customXml" Target="../customXml/item1.xml"/><Relationship Id="rId39" Type="http://schemas.openxmlformats.org/officeDocument/2006/relationships/customXml" Target="../customXml/item2.xml"/><Relationship Id="rId40" Type="http://schemas.openxmlformats.org/officeDocument/2006/relationships/customXml" Target="../customXml/item3.xml"/><Relationship Id="rId41" Type="http://schemas.openxmlformats.org/officeDocument/2006/relationships/customXml" Target="../customXml/item4.xml"/>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d7c48ea4-4748-4e79-bb61-d51d73419c91">
      <UserInfo>
        <DisplayName>Maiko Henrique Lopes Lemes</DisplayName>
        <AccountId>34</AccountId>
        <AccountType/>
      </UserInfo>
      <UserInfo>
        <DisplayName>Thais Sabara Vieira de Goes</DisplayName>
        <AccountId>43</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10" ma:contentTypeDescription="Crie um novo documento." ma:contentTypeScope="" ma:versionID="0c31b71fa78768df031cf3ecb486ccda">
  <xsd:schema xmlns:xsd="http://www.w3.org/2001/XMLSchema" xmlns:xs="http://www.w3.org/2001/XMLSchema" xmlns:p="http://schemas.microsoft.com/office/2006/metadata/properties" xmlns:ns2="52c93ea8-e2de-466c-b401-d7fabeb9490e" xmlns:ns3="d7c48ea4-4748-4e79-bb61-d51d73419c91" targetNamespace="http://schemas.microsoft.com/office/2006/metadata/properties" ma:root="true" ma:fieldsID="8e4945030905baccc89c526be19744c4" ns2:_="" ns3:_="">
    <xsd:import namespace="52c93ea8-e2de-466c-b401-d7fabeb9490e"/>
    <xsd:import namespace="d7c48ea4-4748-4e79-bb61-d51d73419c9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7c48ea4-4748-4e79-bb61-d51d73419c91" elementFormDefault="qualified">
    <xsd:import namespace="http://schemas.microsoft.com/office/2006/documentManagement/types"/>
    <xsd:import namespace="http://schemas.microsoft.com/office/infopath/2007/PartnerControls"/>
    <xsd:element name="SharedWithUsers" ma:index="16"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5D9370-D0F8-4975-A2D0-83FD7771EADE}"/>
</file>

<file path=customXml/itemProps2.xml><?xml version="1.0" encoding="utf-8"?>
<ds:datastoreItem xmlns:ds="http://schemas.openxmlformats.org/officeDocument/2006/customXml" ds:itemID="{6BC7B275-7281-49DC-9744-51C9683D51D2}"/>
</file>

<file path=customXml/itemProps3.xml><?xml version="1.0" encoding="utf-8"?>
<ds:datastoreItem xmlns:ds="http://schemas.openxmlformats.org/officeDocument/2006/customXml" ds:itemID="{0C750CEE-9DB6-4E0D-BC6A-96FD83A61108}">
  <ds:schemaRefs>
    <ds:schemaRef ds:uri="http://schemas.openxmlformats.org/officeDocument/2006/bibliography"/>
  </ds:schemaRefs>
</ds:datastoreItem>
</file>

<file path=customXml/itemProps4.xml><?xml version="1.0" encoding="utf-8"?>
<ds:datastoreItem xmlns:ds="http://schemas.openxmlformats.org/officeDocument/2006/customXml" ds:itemID="{83E8F153-47F9-46C6-9284-C98D823275C2}"/>
</file>

<file path=docProps/app.xml><?xml version="1.0" encoding="utf-8"?>
<Properties xmlns="http://schemas.openxmlformats.org/officeDocument/2006/extended-properties" xmlns:vt="http://schemas.openxmlformats.org/officeDocument/2006/docPropsVTypes">
  <Template>Normal.dotm</Template>
  <TotalTime>6</TotalTime>
  <Application>LibreOffice/7.0.6.2$Windows_X86_64 LibreOffice_project/144abb84a525d8e30c9dbbefa69cbbf2d8d4ae3b</Application>
  <AppVersion>15.0000</AppVersion>
  <Pages>22</Pages>
  <Words>9664</Words>
  <Characters>53994</Characters>
  <CharactersWithSpaces>63031</CharactersWithSpaces>
  <Paragraphs>382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2023-05-20T13:00:00Z</dcterms:created>
  <dc:creator/>
  <dc:description/>
  <dc:language>pt-BR</dc:language>
  <cp:lastModifiedBy/>
  <dcterms:modified xsi:type="dcterms:W3CDTF">2024-03-26T15:50:07Z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y fmtid="{D5CDD505-2E9C-101B-9397-08002B2CF9AE}" pid="3" name="MediaServiceImageTags">
    <vt:lpwstr/>
  </property>
</Properties>
</file>