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media/image1.png" ContentType="image/png"/>
  <Override PartName="/word/comments.xml" ContentType="application/vnd.openxmlformats-officedocument.wordprocessingml.comments+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comments.xml.rels" ContentType="application/vnd.openxmlformats-package.relationships+xml"/>
  <Override PartName="/customXml/item1.xml" ContentType="application/xml"/>
  <Override PartName="/customXml/item2.xml" ContentType="application/xml"/>
  <Override PartName="/customXml/itemProps1.xml" ContentType="application/vnd.openxmlformats-officedocument.customXmlProperties+xml"/>
  <Override PartName="/customXml/item3.xml" ContentType="application/xml"/>
  <Override PartName="/customXml/itemProps2.xml" ContentType="application/vnd.openxmlformats-officedocument.customXmlProperties+xml"/>
  <Override PartName="/customXml/item4.xml" ContentType="application/xml"/>
  <Override PartName="/customXml/itemProps3.xml" ContentType="application/vnd.openxmlformats-officedocument.customXmlProperties+xml"/>
  <Override PartName="/customXml/itemProps4.xml" ContentType="application/vnd.openxmlformats-officedocument.customXmlProperties+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keepNext w:val="false"/>
        <w:keepLines w:val="false"/>
        <w:widowControl/>
        <w:spacing w:lineRule="auto" w:line="240" w:before="3" w:after="0"/>
        <w:ind w:left="0" w:right="0" w:hanging="0"/>
        <w:jc w:val="center"/>
        <w:rPr>
          <w:rFonts w:ascii="Calibri" w:hAnsi="Calibri"/>
          <w:sz w:val="21"/>
          <w:szCs w:val="21"/>
        </w:rPr>
      </w:pPr>
      <w:r>
        <w:rPr/>
        <w:drawing>
          <wp:inline distT="0" distB="0" distL="0" distR="0">
            <wp:extent cx="711835" cy="686435"/>
            <wp:effectExtent l="0" t="0" r="0" b="0"/>
            <wp:docPr id="1" name="image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
                    <pic:cNvPicPr>
                      <a:picLocks noChangeAspect="1" noChangeArrowheads="1"/>
                    </pic:cNvPicPr>
                  </pic:nvPicPr>
                  <pic:blipFill>
                    <a:blip r:embed="rId2"/>
                    <a:stretch>
                      <a:fillRect/>
                    </a:stretch>
                  </pic:blipFill>
                  <pic:spPr bwMode="auto">
                    <a:xfrm>
                      <a:off x="0" y="0"/>
                      <a:ext cx="711835" cy="686435"/>
                    </a:xfrm>
                    <a:prstGeom prst="rect">
                      <a:avLst/>
                    </a:prstGeom>
                  </pic:spPr>
                </pic:pic>
              </a:graphicData>
            </a:graphic>
          </wp:inline>
        </w:drawing>
      </w:r>
    </w:p>
    <w:p>
      <w:pPr>
        <w:pStyle w:val="Normal"/>
        <w:keepNext w:val="false"/>
        <w:keepLines w:val="false"/>
        <w:pageBreakBefore w:val="false"/>
        <w:widowControl/>
        <w:spacing w:lineRule="auto" w:line="240" w:before="3" w:after="0"/>
        <w:ind w:left="0" w:right="0" w:hanging="0"/>
        <w:jc w:val="center"/>
        <w:rPr>
          <w:rFonts w:ascii="Calibri" w:hAnsi="Calibri"/>
          <w:sz w:val="21"/>
          <w:szCs w:val="21"/>
        </w:rPr>
      </w:pPr>
      <w:r>
        <w:rPr>
          <w:rFonts w:eastAsia="Times New Roman" w:cs="Times New Roman" w:ascii="Calibri" w:hAnsi="Calibri"/>
          <w:b/>
          <w:i w:val="false"/>
          <w:caps w:val="false"/>
          <w:smallCaps w:val="false"/>
          <w:strike w:val="false"/>
          <w:dstrike w:val="false"/>
          <w:color w:val="000000"/>
          <w:position w:val="0"/>
          <w:sz w:val="21"/>
          <w:sz w:val="21"/>
          <w:szCs w:val="21"/>
          <w:u w:val="none"/>
          <w:vertAlign w:val="baseline"/>
        </w:rPr>
        <w:t>MINISTÉRIO DA DEFESA</w:t>
      </w:r>
    </w:p>
    <w:p>
      <w:pPr>
        <w:pStyle w:val="Normal"/>
        <w:keepNext w:val="false"/>
        <w:keepLines w:val="false"/>
        <w:pageBreakBefore w:val="false"/>
        <w:widowControl/>
        <w:spacing w:lineRule="auto" w:line="240" w:before="3" w:after="0"/>
        <w:ind w:left="0" w:right="0" w:hanging="0"/>
        <w:jc w:val="center"/>
        <w:rPr>
          <w:rFonts w:ascii="Calibri" w:hAnsi="Calibri"/>
          <w:sz w:val="21"/>
          <w:szCs w:val="21"/>
        </w:rPr>
      </w:pPr>
      <w:r>
        <w:rPr>
          <w:rFonts w:eastAsia="Times New Roman" w:cs="Times New Roman" w:ascii="Calibri" w:hAnsi="Calibri"/>
          <w:b/>
          <w:i w:val="false"/>
          <w:caps w:val="false"/>
          <w:smallCaps w:val="false"/>
          <w:strike w:val="false"/>
          <w:dstrike w:val="false"/>
          <w:color w:val="000000"/>
          <w:position w:val="0"/>
          <w:sz w:val="21"/>
          <w:sz w:val="21"/>
          <w:szCs w:val="21"/>
          <w:u w:val="none"/>
          <w:vertAlign w:val="baseline"/>
        </w:rPr>
        <w:t>EXÉRCITO BRASILEIRO</w:t>
      </w:r>
    </w:p>
    <w:p>
      <w:pPr>
        <w:pStyle w:val="Normal"/>
        <w:keepNext w:val="false"/>
        <w:keepLines w:val="false"/>
        <w:pageBreakBefore w:val="false"/>
        <w:widowControl/>
        <w:spacing w:lineRule="auto" w:line="360" w:before="0" w:after="0"/>
        <w:ind w:left="0" w:right="0" w:hanging="0"/>
        <w:jc w:val="center"/>
        <w:rPr>
          <w:rFonts w:ascii="Calibri" w:hAnsi="Calibri"/>
          <w:sz w:val="21"/>
          <w:szCs w:val="21"/>
        </w:rPr>
      </w:pPr>
      <w:r>
        <w:rPr>
          <w:rFonts w:eastAsia="Times new roman" w:cs="Times new roman" w:ascii="Calibri" w:hAnsi="Calibri"/>
          <w:b/>
          <w:i w:val="false"/>
          <w:caps w:val="false"/>
          <w:smallCaps w:val="false"/>
          <w:strike w:val="false"/>
          <w:dstrike w:val="false"/>
          <w:color w:val="000000"/>
          <w:position w:val="0"/>
          <w:sz w:val="21"/>
          <w:sz w:val="21"/>
          <w:szCs w:val="21"/>
          <w:u w:val="none"/>
          <w:vertAlign w:val="baseline"/>
        </w:rPr>
        <w:t>CMNE – 7ª RM</w:t>
      </w:r>
    </w:p>
    <w:p>
      <w:pPr>
        <w:pStyle w:val="Normal"/>
        <w:keepNext w:val="false"/>
        <w:keepLines w:val="false"/>
        <w:pageBreakBefore w:val="false"/>
        <w:widowControl/>
        <w:spacing w:lineRule="auto" w:line="360" w:before="0" w:after="0"/>
        <w:ind w:left="0" w:right="0" w:hanging="0"/>
        <w:jc w:val="center"/>
        <w:rPr>
          <w:rFonts w:ascii="Calibri" w:hAnsi="Calibri"/>
          <w:sz w:val="21"/>
          <w:szCs w:val="21"/>
        </w:rPr>
      </w:pPr>
      <w:r>
        <w:rPr>
          <w:rFonts w:eastAsia="Times new roman" w:cs="Times new roman" w:ascii="Calibri" w:hAnsi="Calibri"/>
          <w:b/>
          <w:i w:val="false"/>
          <w:caps w:val="false"/>
          <w:smallCaps w:val="false"/>
          <w:strike w:val="false"/>
          <w:dstrike w:val="false"/>
          <w:color w:val="000000"/>
          <w:position w:val="0"/>
          <w:sz w:val="21"/>
          <w:sz w:val="21"/>
          <w:szCs w:val="21"/>
          <w:u w:val="none"/>
          <w:vertAlign w:val="baseline"/>
        </w:rPr>
        <w:t>PARQUE REGIONAL DE MANUTENÇÃO/7</w:t>
      </w:r>
    </w:p>
    <w:p>
      <w:pPr>
        <w:pStyle w:val="Normal"/>
        <w:keepNext w:val="false"/>
        <w:keepLines w:val="false"/>
        <w:pageBreakBefore w:val="false"/>
        <w:widowControl/>
        <w:spacing w:lineRule="auto" w:line="360" w:before="0" w:after="0"/>
        <w:ind w:left="0" w:right="0" w:hanging="0"/>
        <w:jc w:val="center"/>
        <w:rPr>
          <w:rFonts w:ascii="Calibri" w:hAnsi="Calibri"/>
          <w:sz w:val="21"/>
          <w:szCs w:val="21"/>
        </w:rPr>
      </w:pPr>
      <w:r>
        <w:rPr>
          <w:rFonts w:eastAsia="Times new roman" w:cs="Times new roman" w:ascii="Calibri" w:hAnsi="Calibri"/>
          <w:b/>
          <w:i w:val="false"/>
          <w:caps w:val="false"/>
          <w:smallCaps w:val="false"/>
          <w:strike w:val="false"/>
          <w:dstrike w:val="false"/>
          <w:color w:val="000000"/>
          <w:position w:val="0"/>
          <w:sz w:val="21"/>
          <w:sz w:val="21"/>
          <w:szCs w:val="21"/>
          <w:u w:val="none"/>
          <w:vertAlign w:val="baseline"/>
        </w:rPr>
        <w:t>(Pq R MB/7ª RM/1947)</w:t>
      </w:r>
    </w:p>
    <w:p>
      <w:pPr>
        <w:pStyle w:val="Normal"/>
        <w:keepNext w:val="false"/>
        <w:keepLines w:val="false"/>
        <w:widowControl/>
        <w:spacing w:lineRule="auto" w:line="240" w:before="0" w:after="120"/>
        <w:ind w:left="0" w:right="0" w:hanging="0"/>
        <w:jc w:val="center"/>
        <w:rPr>
          <w:rFonts w:ascii="Calibri" w:hAnsi="Calibri"/>
          <w:sz w:val="21"/>
          <w:szCs w:val="21"/>
        </w:rPr>
      </w:pPr>
      <w:commentRangeStart w:id="0"/>
      <w:r>
        <w:rPr>
          <w:rFonts w:eastAsia="Times New Roman" w:cs="Arial" w:ascii="Calibri" w:hAnsi="Calibri"/>
          <w:b/>
          <w:bCs/>
          <w:i w:val="false"/>
          <w:iCs w:val="false"/>
          <w:caps w:val="false"/>
          <w:smallCaps w:val="false"/>
          <w:strike w:val="false"/>
          <w:dstrike w:val="false"/>
          <w:color w:val="000000"/>
          <w:position w:val="0"/>
          <w:sz w:val="21"/>
          <w:sz w:val="21"/>
          <w:szCs w:val="21"/>
          <w:u w:val="none"/>
          <w:shd w:fill="C0C0C0" w:val="clear"/>
          <w:vertAlign w:val="baseline"/>
        </w:rPr>
        <w:t>PARQUE DE MANUTENÇÃO BATALHA DE CASA FORTE</w:t>
      </w:r>
    </w:p>
    <w:p>
      <w:pPr>
        <w:pStyle w:val="Normal"/>
        <w:spacing w:lineRule="auto" w:line="312" w:before="120" w:after="288"/>
        <w:jc w:val="center"/>
        <w:rPr>
          <w:rFonts w:ascii="Calibri" w:hAnsi="Calibri"/>
          <w:sz w:val="21"/>
          <w:szCs w:val="21"/>
        </w:rPr>
      </w:pPr>
      <w:r>
        <w:rPr>
          <w:rFonts w:cs="Arial" w:ascii="Calibri" w:hAnsi="Calibri"/>
          <w:color w:val="000000" w:themeColor="text1"/>
          <w:sz w:val="21"/>
          <w:szCs w:val="21"/>
        </w:rPr>
        <w:t>(Processo Administrativo n° 64621)</w:t>
      </w:r>
      <w:commentRangeEnd w:id="0"/>
      <w:r>
        <w:commentReference w:id="0"/>
      </w:r>
      <w:r>
        <w:rPr>
          <w:rFonts w:cs="Arial" w:ascii="Calibri" w:hAnsi="Calibri"/>
          <w:color w:val="000000" w:themeColor="text1"/>
          <w:sz w:val="21"/>
          <w:szCs w:val="21"/>
        </w:rPr>
      </w:r>
    </w:p>
    <w:p>
      <w:pPr>
        <w:pStyle w:val="Nivel01"/>
        <w:numPr>
          <w:ilvl w:val="0"/>
          <w:numId w:val="4"/>
        </w:numPr>
        <w:ind w:left="0" w:hanging="0"/>
        <w:rPr>
          <w:rFonts w:ascii="Calibri" w:hAnsi="Calibri"/>
          <w:sz w:val="21"/>
          <w:szCs w:val="21"/>
        </w:rPr>
      </w:pPr>
      <w:r>
        <w:rPr>
          <w:rFonts w:ascii="Calibri" w:hAnsi="Calibri"/>
          <w:sz w:val="21"/>
          <w:szCs w:val="21"/>
        </w:rPr>
        <w:t>CONDIÇÕES GERAIS DA CONTRATAÇÃO</w:t>
      </w:r>
    </w:p>
    <w:p>
      <w:pPr>
        <w:pStyle w:val="Nivel2"/>
        <w:numPr>
          <w:ilvl w:val="1"/>
          <w:numId w:val="150"/>
        </w:numPr>
        <w:ind w:left="0" w:hanging="0"/>
        <w:rPr>
          <w:rFonts w:ascii="Calibri" w:hAnsi="Calibri"/>
          <w:sz w:val="21"/>
          <w:szCs w:val="21"/>
        </w:rPr>
      </w:pPr>
      <w:commentRangeStart w:id="1"/>
      <w:r>
        <w:rPr>
          <w:rFonts w:ascii="Calibri" w:hAnsi="Calibri"/>
          <w:sz w:val="21"/>
          <w:szCs w:val="21"/>
        </w:rPr>
        <w:t>Aquisição de material elétrico, de pintura e hidráulico para manutenção das instalações da SFPC</w:t>
      </w:r>
      <w:r>
        <w:rPr>
          <w:rFonts w:ascii="Calibri" w:hAnsi="Calibri"/>
          <w:b/>
          <w:bCs/>
          <w:sz w:val="21"/>
          <w:szCs w:val="21"/>
        </w:rPr>
        <w:t>,</w:t>
      </w:r>
      <w:r>
        <w:rPr>
          <w:rFonts w:ascii="Calibri" w:hAnsi="Calibri"/>
          <w:sz w:val="21"/>
          <w:szCs w:val="21"/>
        </w:rPr>
        <w:t xml:space="preserve"> nos termos da tabela abaixo, conforme condições e exigências estabelecidas neste instrumento.</w:t>
      </w:r>
      <w:commentRangeEnd w:id="1"/>
      <w:r>
        <w:commentReference w:id="1"/>
      </w:r>
      <w:r>
        <w:rPr>
          <w:rFonts w:ascii="Calibri" w:hAnsi="Calibri"/>
          <w:sz w:val="21"/>
          <w:szCs w:val="21"/>
        </w:rPr>
      </w:r>
    </w:p>
    <w:tbl>
      <w:tblPr>
        <w:tblW w:w="9639" w:type="dxa"/>
        <w:jc w:val="left"/>
        <w:tblInd w:w="108" w:type="dxa"/>
        <w:tblLayout w:type="fixed"/>
        <w:tblCellMar>
          <w:top w:w="0" w:type="dxa"/>
          <w:left w:w="108" w:type="dxa"/>
          <w:bottom w:w="0" w:type="dxa"/>
          <w:right w:w="108" w:type="dxa"/>
        </w:tblCellMar>
        <w:tblLook w:firstRow="1" w:noVBand="1" w:lastRow="0" w:firstColumn="1" w:lastColumn="0" w:noHBand="0" w:val="04a0"/>
      </w:tblPr>
      <w:tblGrid>
        <w:gridCol w:w="709"/>
        <w:gridCol w:w="1985"/>
        <w:gridCol w:w="1133"/>
        <w:gridCol w:w="1417"/>
        <w:gridCol w:w="1564"/>
        <w:gridCol w:w="1272"/>
        <w:gridCol w:w="1558"/>
      </w:tblGrid>
      <w:tr>
        <w:trPr/>
        <w:tc>
          <w:tcPr>
            <w:tcW w:w="70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b/>
                <w:b/>
                <w:bCs/>
                <w:color w:val="000000"/>
                <w:sz w:val="21"/>
                <w:szCs w:val="21"/>
              </w:rPr>
            </w:pPr>
            <w:r>
              <w:rPr>
                <w:rFonts w:eastAsia="Arial" w:cs="Arial" w:ascii="Calibri" w:hAnsi="Calibri"/>
                <w:b/>
                <w:bCs/>
                <w:color w:val="000000" w:themeColor="text1"/>
                <w:sz w:val="21"/>
                <w:szCs w:val="21"/>
              </w:rPr>
              <w:t>ITEM</w:t>
            </w:r>
          </w:p>
          <w:p>
            <w:pPr>
              <w:pStyle w:val="Normal"/>
              <w:widowControl w:val="false"/>
              <w:suppressAutoHyphens w:val="true"/>
              <w:spacing w:lineRule="auto" w:line="312" w:before="120" w:after="288"/>
              <w:jc w:val="center"/>
              <w:rPr>
                <w:rFonts w:ascii="Calibri" w:hAnsi="Calibri" w:eastAsia="Arial" w:cs="Arial"/>
                <w:b/>
                <w:b/>
                <w:bCs/>
                <w:color w:val="000000"/>
                <w:sz w:val="21"/>
                <w:szCs w:val="21"/>
              </w:rPr>
            </w:pPr>
            <w:r>
              <w:rPr>
                <w:rFonts w:eastAsia="Arial" w:cs="Arial" w:ascii="Calibri" w:hAnsi="Calibri"/>
                <w:b/>
                <w:bCs/>
                <w:color w:val="000000"/>
                <w:sz w:val="21"/>
                <w:szCs w:val="21"/>
              </w:rPr>
            </w:r>
          </w:p>
        </w:tc>
        <w:tc>
          <w:tcPr>
            <w:tcW w:w="1985"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b/>
                <w:bCs/>
                <w:color w:val="000000" w:themeColor="text1"/>
                <w:sz w:val="21"/>
                <w:szCs w:val="21"/>
              </w:rPr>
              <w:t>ESPECIFICAÇÃO</w:t>
            </w:r>
          </w:p>
        </w:tc>
        <w:tc>
          <w:tcPr>
            <w:tcW w:w="113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b/>
                <w:bCs/>
                <w:color w:val="000000" w:themeColor="text1"/>
                <w:sz w:val="21"/>
                <w:szCs w:val="21"/>
              </w:rPr>
              <w:t>CATMAT</w:t>
            </w:r>
          </w:p>
        </w:tc>
        <w:tc>
          <w:tcPr>
            <w:tcW w:w="141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b/>
                <w:bCs/>
                <w:color w:val="000000" w:themeColor="text1"/>
                <w:sz w:val="21"/>
                <w:szCs w:val="21"/>
              </w:rPr>
              <w:t>UNIDADE DE MEDIDA</w:t>
            </w:r>
          </w:p>
        </w:tc>
        <w:tc>
          <w:tcPr>
            <w:tcW w:w="156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b/>
                <w:b/>
                <w:bCs/>
                <w:sz w:val="21"/>
                <w:szCs w:val="21"/>
              </w:rPr>
            </w:pPr>
            <w:r>
              <w:rPr>
                <w:rFonts w:eastAsia="Arial" w:cs="Arial" w:ascii="Calibri" w:hAnsi="Calibri"/>
                <w:b/>
                <w:bCs/>
                <w:sz w:val="21"/>
                <w:szCs w:val="21"/>
              </w:rPr>
              <w:t>QUANTIDADE</w:t>
            </w:r>
          </w:p>
        </w:tc>
        <w:tc>
          <w:tcPr>
            <w:tcW w:w="127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b/>
                <w:b/>
                <w:bCs/>
                <w:sz w:val="21"/>
                <w:szCs w:val="21"/>
              </w:rPr>
            </w:pPr>
            <w:r>
              <w:rPr>
                <w:rFonts w:eastAsia="Arial" w:cs="Arial" w:ascii="Calibri" w:hAnsi="Calibri"/>
                <w:b/>
                <w:bCs/>
                <w:sz w:val="21"/>
                <w:szCs w:val="21"/>
              </w:rPr>
              <w:t>VALOR UNITÁRIO (R$)</w:t>
            </w:r>
          </w:p>
        </w:tc>
        <w:tc>
          <w:tcPr>
            <w:tcW w:w="155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b/>
                <w:b/>
                <w:bCs/>
                <w:sz w:val="21"/>
                <w:szCs w:val="21"/>
              </w:rPr>
            </w:pPr>
            <w:r>
              <w:rPr>
                <w:rFonts w:eastAsia="Arial" w:cs="Arial" w:ascii="Calibri" w:hAnsi="Calibri"/>
                <w:b/>
                <w:bCs/>
                <w:sz w:val="21"/>
                <w:szCs w:val="21"/>
              </w:rPr>
              <w:t>VALOR TOTAL (R$)</w:t>
            </w:r>
          </w:p>
        </w:tc>
      </w:tr>
      <w:tr>
        <w:trPr/>
        <w:tc>
          <w:tcPr>
            <w:tcW w:w="709"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b/>
                <w:b/>
                <w:bCs/>
                <w:color w:val="000000"/>
                <w:sz w:val="21"/>
                <w:szCs w:val="21"/>
              </w:rPr>
            </w:pPr>
            <w:r>
              <w:rPr>
                <w:rFonts w:eastAsia="Arial" w:cs="Arial" w:ascii="Calibri" w:hAnsi="Calibri"/>
                <w:b/>
                <w:bCs/>
                <w:color w:val="000000" w:themeColor="text1"/>
                <w:sz w:val="21"/>
                <w:szCs w:val="21"/>
              </w:rPr>
              <w:t>1</w:t>
            </w:r>
          </w:p>
        </w:tc>
        <w:tc>
          <w:tcPr>
            <w:tcW w:w="1985" w:type="dxa"/>
            <w:tcBorders>
              <w:top w:val="single" w:sz="4" w:space="0" w:color="000000"/>
              <w:left w:val="single" w:sz="4" w:space="0" w:color="000000"/>
              <w:bottom w:val="single" w:sz="4" w:space="0" w:color="000000"/>
              <w:right w:val="single" w:sz="4" w:space="0" w:color="000000"/>
            </w:tcBorders>
          </w:tcPr>
          <w:p>
            <w:pPr>
              <w:pStyle w:val="Normal"/>
              <w:widowControl w:val="false"/>
              <w:bidi w:val="0"/>
              <w:jc w:val="center"/>
              <w:rPr>
                <w:rFonts w:ascii="Calibri" w:hAnsi="Calibri"/>
                <w:b w:val="false"/>
                <w:b w:val="false"/>
                <w:i w:val="false"/>
                <w:i w:val="false"/>
                <w:strike w:val="false"/>
                <w:dstrike w:val="false"/>
                <w:outline w:val="false"/>
                <w:shadow w:val="false"/>
                <w:color w:val="000000"/>
                <w:kern w:val="2"/>
                <w:sz w:val="20"/>
                <w:szCs w:val="20"/>
                <w:u w:val="none"/>
                <w:em w:val="none"/>
              </w:rPr>
            </w:pPr>
            <w:r>
              <w:rPr>
                <w:rFonts w:ascii="Calibri" w:hAnsi="Calibri"/>
                <w:b w:val="false"/>
                <w:i w:val="false"/>
                <w:strike w:val="false"/>
                <w:dstrike w:val="false"/>
                <w:outline w:val="false"/>
                <w:shadow w:val="false"/>
                <w:color w:val="000000"/>
                <w:kern w:val="2"/>
                <w:sz w:val="20"/>
                <w:szCs w:val="20"/>
                <w:u w:val="none"/>
                <w:em w:val="none"/>
              </w:rPr>
              <w:t xml:space="preserve"> </w:t>
            </w:r>
            <w:r>
              <w:rPr>
                <w:rFonts w:ascii="Calibri" w:hAnsi="Calibri"/>
                <w:b w:val="false"/>
                <w:i w:val="false"/>
                <w:strike w:val="false"/>
                <w:dstrike w:val="false"/>
                <w:outline w:val="false"/>
                <w:shadow w:val="false"/>
                <w:color w:val="000000"/>
                <w:kern w:val="2"/>
                <w:sz w:val="20"/>
                <w:szCs w:val="20"/>
                <w:u w:val="none"/>
                <w:em w:val="none"/>
              </w:rPr>
              <w:t>TINTA ACRILICA SEMI BRILHO BRANCO NEVE</w:t>
            </w:r>
          </w:p>
        </w:tc>
        <w:tc>
          <w:tcPr>
            <w:tcW w:w="1133"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color w:val="000000"/>
                <w:sz w:val="21"/>
                <w:szCs w:val="21"/>
              </w:rPr>
              <w:t>231780</w:t>
            </w:r>
          </w:p>
        </w:tc>
        <w:tc>
          <w:tcPr>
            <w:tcW w:w="1417"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color w:val="000000"/>
                <w:sz w:val="21"/>
                <w:szCs w:val="21"/>
              </w:rPr>
              <w:t>Lt 18 litros</w:t>
            </w:r>
          </w:p>
        </w:tc>
        <w:tc>
          <w:tcPr>
            <w:tcW w:w="1564"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color w:val="000000"/>
                <w:sz w:val="21"/>
                <w:szCs w:val="21"/>
              </w:rPr>
              <w:t>2</w:t>
            </w:r>
          </w:p>
        </w:tc>
        <w:tc>
          <w:tcPr>
            <w:tcW w:w="1272"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color w:val="000000"/>
                <w:sz w:val="21"/>
                <w:szCs w:val="21"/>
              </w:rPr>
              <w:t>780,00</w:t>
            </w:r>
          </w:p>
        </w:tc>
        <w:tc>
          <w:tcPr>
            <w:tcW w:w="1558" w:type="dxa"/>
            <w:tcBorders>
              <w:top w:val="single" w:sz="4" w:space="0" w:color="000000"/>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kern w:val="0"/>
                <w:sz w:val="21"/>
                <w:szCs w:val="21"/>
                <w:lang w:val="pt-BR" w:eastAsia="pt-BR" w:bidi="ar-SA"/>
              </w:rPr>
            </w:pPr>
            <w:r>
              <w:rPr>
                <w:rFonts w:eastAsia="Arial" w:cs="Arial" w:ascii="Calibri" w:hAnsi="Calibri"/>
                <w:color w:val="000000"/>
                <w:kern w:val="0"/>
                <w:sz w:val="21"/>
                <w:szCs w:val="21"/>
                <w:lang w:val="pt-BR" w:eastAsia="pt-BR" w:bidi="ar-SA"/>
              </w:rPr>
              <w:t>1.560,00</w:t>
            </w:r>
          </w:p>
        </w:tc>
      </w:tr>
      <w:tr>
        <w:trPr/>
        <w:tc>
          <w:tcPr>
            <w:tcW w:w="709"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b/>
                <w:b/>
                <w:bCs/>
                <w:color w:val="000000"/>
                <w:sz w:val="21"/>
                <w:szCs w:val="21"/>
              </w:rPr>
            </w:pPr>
            <w:r>
              <w:rPr>
                <w:rFonts w:eastAsia="Arial" w:cs="Arial" w:ascii="Calibri" w:hAnsi="Calibri"/>
                <w:b/>
                <w:bCs/>
                <w:color w:val="000000"/>
                <w:sz w:val="21"/>
                <w:szCs w:val="21"/>
              </w:rPr>
              <w:t>2</w:t>
            </w:r>
          </w:p>
        </w:tc>
        <w:tc>
          <w:tcPr>
            <w:tcW w:w="1985" w:type="dxa"/>
            <w:tcBorders>
              <w:left w:val="single" w:sz="4" w:space="0" w:color="000000"/>
              <w:bottom w:val="single" w:sz="4" w:space="0" w:color="000000"/>
              <w:right w:val="single" w:sz="4" w:space="0" w:color="000000"/>
            </w:tcBorders>
          </w:tcPr>
          <w:p>
            <w:pPr>
              <w:pStyle w:val="Normal"/>
              <w:widowControl w:val="false"/>
              <w:bidi w:val="0"/>
              <w:jc w:val="center"/>
              <w:rPr>
                <w:rFonts w:ascii="Calibri" w:hAnsi="Calibri"/>
                <w:b w:val="false"/>
                <w:b w:val="false"/>
                <w:i w:val="false"/>
                <w:i w:val="false"/>
                <w:strike w:val="false"/>
                <w:dstrike w:val="false"/>
                <w:outline w:val="false"/>
                <w:shadow w:val="false"/>
                <w:color w:val="000000"/>
                <w:kern w:val="2"/>
                <w:sz w:val="20"/>
                <w:szCs w:val="20"/>
                <w:u w:val="none"/>
                <w:em w:val="none"/>
              </w:rPr>
            </w:pPr>
            <w:r>
              <w:rPr>
                <w:rFonts w:ascii="Calibri" w:hAnsi="Calibri"/>
                <w:b w:val="false"/>
                <w:i w:val="false"/>
                <w:strike w:val="false"/>
                <w:dstrike w:val="false"/>
                <w:outline w:val="false"/>
                <w:shadow w:val="false"/>
                <w:color w:val="000000"/>
                <w:kern w:val="2"/>
                <w:sz w:val="20"/>
                <w:szCs w:val="20"/>
                <w:u w:val="none"/>
                <w:em w:val="none"/>
              </w:rPr>
              <w:t xml:space="preserve"> </w:t>
            </w:r>
            <w:r>
              <w:rPr>
                <w:rFonts w:ascii="Calibri" w:hAnsi="Calibri"/>
                <w:b w:val="false"/>
                <w:i w:val="false"/>
                <w:strike w:val="false"/>
                <w:dstrike w:val="false"/>
                <w:outline w:val="false"/>
                <w:shadow w:val="false"/>
                <w:color w:val="000000"/>
                <w:kern w:val="2"/>
                <w:sz w:val="20"/>
                <w:szCs w:val="20"/>
                <w:u w:val="none"/>
                <w:em w:val="none"/>
              </w:rPr>
              <w:t>TINTA ACRILICA SEMI BRILHO PALHA</w:t>
            </w:r>
          </w:p>
        </w:tc>
        <w:tc>
          <w:tcPr>
            <w:tcW w:w="1133"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color w:val="000000"/>
                <w:sz w:val="21"/>
                <w:szCs w:val="21"/>
              </w:rPr>
              <w:t>241986</w:t>
            </w:r>
          </w:p>
        </w:tc>
        <w:tc>
          <w:tcPr>
            <w:tcW w:w="1417"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color w:val="000000"/>
                <w:sz w:val="21"/>
                <w:szCs w:val="21"/>
              </w:rPr>
              <w:t>Lt 18 litros</w:t>
            </w:r>
          </w:p>
        </w:tc>
        <w:tc>
          <w:tcPr>
            <w:tcW w:w="1564"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color w:val="000000"/>
                <w:sz w:val="21"/>
                <w:szCs w:val="21"/>
              </w:rPr>
              <w:t>3</w:t>
            </w:r>
          </w:p>
        </w:tc>
        <w:tc>
          <w:tcPr>
            <w:tcW w:w="1272"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color w:val="000000"/>
                <w:sz w:val="21"/>
                <w:szCs w:val="21"/>
              </w:rPr>
              <w:t>987,50</w:t>
            </w:r>
          </w:p>
        </w:tc>
        <w:tc>
          <w:tcPr>
            <w:tcW w:w="1558"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kern w:val="0"/>
                <w:sz w:val="21"/>
                <w:szCs w:val="21"/>
                <w:lang w:val="pt-BR" w:eastAsia="pt-BR" w:bidi="ar-SA"/>
              </w:rPr>
            </w:pPr>
            <w:r>
              <w:rPr>
                <w:rFonts w:eastAsia="Arial" w:cs="Arial" w:ascii="Calibri" w:hAnsi="Calibri"/>
                <w:color w:val="000000"/>
                <w:kern w:val="0"/>
                <w:sz w:val="21"/>
                <w:szCs w:val="21"/>
                <w:lang w:val="pt-BR" w:eastAsia="pt-BR" w:bidi="ar-SA"/>
              </w:rPr>
              <w:t>2.962,50</w:t>
            </w:r>
          </w:p>
        </w:tc>
      </w:tr>
      <w:tr>
        <w:trPr/>
        <w:tc>
          <w:tcPr>
            <w:tcW w:w="709"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b/>
                <w:b/>
                <w:bCs/>
                <w:color w:val="000000"/>
                <w:sz w:val="21"/>
                <w:szCs w:val="21"/>
              </w:rPr>
            </w:pPr>
            <w:r>
              <w:rPr>
                <w:rFonts w:eastAsia="Arial" w:cs="Arial" w:ascii="Calibri" w:hAnsi="Calibri"/>
                <w:b/>
                <w:bCs/>
                <w:color w:val="000000"/>
                <w:sz w:val="21"/>
                <w:szCs w:val="21"/>
              </w:rPr>
              <w:t>3</w:t>
            </w:r>
          </w:p>
        </w:tc>
        <w:tc>
          <w:tcPr>
            <w:tcW w:w="1985" w:type="dxa"/>
            <w:tcBorders>
              <w:left w:val="single" w:sz="4" w:space="0" w:color="000000"/>
              <w:bottom w:val="single" w:sz="4" w:space="0" w:color="000000"/>
              <w:right w:val="single" w:sz="4" w:space="0" w:color="000000"/>
            </w:tcBorders>
          </w:tcPr>
          <w:p>
            <w:pPr>
              <w:pStyle w:val="Normal"/>
              <w:widowControl w:val="false"/>
              <w:bidi w:val="0"/>
              <w:jc w:val="center"/>
              <w:rPr>
                <w:rFonts w:ascii="Calibri" w:hAnsi="Calibri"/>
                <w:b w:val="false"/>
                <w:b w:val="false"/>
                <w:i w:val="false"/>
                <w:i w:val="false"/>
                <w:strike w:val="false"/>
                <w:dstrike w:val="false"/>
                <w:outline w:val="false"/>
                <w:shadow w:val="false"/>
                <w:color w:val="000000"/>
                <w:kern w:val="2"/>
                <w:sz w:val="20"/>
                <w:szCs w:val="20"/>
                <w:u w:val="none"/>
                <w:em w:val="none"/>
              </w:rPr>
            </w:pPr>
            <w:r>
              <w:rPr>
                <w:rFonts w:ascii="Calibri" w:hAnsi="Calibri"/>
                <w:b w:val="false"/>
                <w:i w:val="false"/>
                <w:strike w:val="false"/>
                <w:dstrike w:val="false"/>
                <w:outline w:val="false"/>
                <w:shadow w:val="false"/>
                <w:color w:val="000000"/>
                <w:kern w:val="2"/>
                <w:sz w:val="20"/>
                <w:szCs w:val="20"/>
                <w:u w:val="none"/>
                <w:em w:val="none"/>
              </w:rPr>
              <w:t xml:space="preserve"> </w:t>
            </w:r>
            <w:r>
              <w:rPr>
                <w:rFonts w:ascii="Calibri" w:hAnsi="Calibri"/>
                <w:b w:val="false"/>
                <w:i w:val="false"/>
                <w:strike w:val="false"/>
                <w:dstrike w:val="false"/>
                <w:outline w:val="false"/>
                <w:shadow w:val="false"/>
                <w:color w:val="000000"/>
                <w:kern w:val="2"/>
                <w:sz w:val="20"/>
                <w:szCs w:val="20"/>
                <w:u w:val="none"/>
                <w:em w:val="none"/>
              </w:rPr>
              <w:t>LUMINARIA LED SOBREPOR 36W</w:t>
            </w:r>
          </w:p>
        </w:tc>
        <w:tc>
          <w:tcPr>
            <w:tcW w:w="1133"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color w:val="000000"/>
                <w:sz w:val="21"/>
                <w:szCs w:val="21"/>
              </w:rPr>
              <w:t>227605</w:t>
            </w:r>
          </w:p>
        </w:tc>
        <w:tc>
          <w:tcPr>
            <w:tcW w:w="1417"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color w:val="000000"/>
                <w:sz w:val="21"/>
                <w:szCs w:val="21"/>
              </w:rPr>
              <w:t>Und</w:t>
            </w:r>
          </w:p>
        </w:tc>
        <w:tc>
          <w:tcPr>
            <w:tcW w:w="1564"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color w:val="000000"/>
                <w:sz w:val="21"/>
                <w:szCs w:val="21"/>
              </w:rPr>
              <w:t>20</w:t>
            </w:r>
          </w:p>
        </w:tc>
        <w:tc>
          <w:tcPr>
            <w:tcW w:w="1272"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color w:val="000000"/>
                <w:sz w:val="21"/>
                <w:szCs w:val="21"/>
              </w:rPr>
              <w:t>39,00</w:t>
            </w:r>
          </w:p>
        </w:tc>
        <w:tc>
          <w:tcPr>
            <w:tcW w:w="1558"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kern w:val="0"/>
                <w:sz w:val="21"/>
                <w:szCs w:val="21"/>
                <w:lang w:val="pt-BR" w:eastAsia="pt-BR" w:bidi="ar-SA"/>
              </w:rPr>
            </w:pPr>
            <w:r>
              <w:rPr>
                <w:rFonts w:eastAsia="Arial" w:cs="Arial" w:ascii="Calibri" w:hAnsi="Calibri"/>
                <w:color w:val="000000"/>
                <w:kern w:val="0"/>
                <w:sz w:val="21"/>
                <w:szCs w:val="21"/>
                <w:lang w:val="pt-BR" w:eastAsia="pt-BR" w:bidi="ar-SA"/>
              </w:rPr>
              <w:t>780,00</w:t>
            </w:r>
          </w:p>
        </w:tc>
      </w:tr>
      <w:tr>
        <w:trPr/>
        <w:tc>
          <w:tcPr>
            <w:tcW w:w="709"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b/>
                <w:b/>
                <w:bCs/>
                <w:color w:val="000000"/>
                <w:sz w:val="21"/>
                <w:szCs w:val="21"/>
              </w:rPr>
            </w:pPr>
            <w:r>
              <w:rPr>
                <w:rFonts w:eastAsia="Arial" w:cs="Arial" w:ascii="Calibri" w:hAnsi="Calibri"/>
                <w:b/>
                <w:bCs/>
                <w:color w:val="000000"/>
                <w:sz w:val="21"/>
                <w:szCs w:val="21"/>
              </w:rPr>
              <w:t>4</w:t>
            </w:r>
          </w:p>
        </w:tc>
        <w:tc>
          <w:tcPr>
            <w:tcW w:w="1985" w:type="dxa"/>
            <w:tcBorders>
              <w:left w:val="single" w:sz="4" w:space="0" w:color="000000"/>
              <w:bottom w:val="single" w:sz="4" w:space="0" w:color="000000"/>
              <w:right w:val="single" w:sz="4" w:space="0" w:color="000000"/>
            </w:tcBorders>
          </w:tcPr>
          <w:p>
            <w:pPr>
              <w:pStyle w:val="Normal"/>
              <w:widowControl w:val="false"/>
              <w:bidi w:val="0"/>
              <w:jc w:val="center"/>
              <w:rPr>
                <w:rFonts w:ascii="Calibri" w:hAnsi="Calibri"/>
                <w:b w:val="false"/>
                <w:b w:val="false"/>
                <w:i w:val="false"/>
                <w:i w:val="false"/>
                <w:strike w:val="false"/>
                <w:dstrike w:val="false"/>
                <w:outline w:val="false"/>
                <w:shadow w:val="false"/>
                <w:color w:val="000000"/>
                <w:kern w:val="2"/>
                <w:sz w:val="20"/>
                <w:szCs w:val="20"/>
                <w:u w:val="none"/>
                <w:em w:val="none"/>
              </w:rPr>
            </w:pPr>
            <w:r>
              <w:rPr>
                <w:rFonts w:ascii="Calibri" w:hAnsi="Calibri"/>
                <w:b w:val="false"/>
                <w:i w:val="false"/>
                <w:strike w:val="false"/>
                <w:dstrike w:val="false"/>
                <w:outline w:val="false"/>
                <w:shadow w:val="false"/>
                <w:color w:val="000000"/>
                <w:kern w:val="2"/>
                <w:sz w:val="20"/>
                <w:szCs w:val="20"/>
                <w:u w:val="none"/>
                <w:em w:val="none"/>
              </w:rPr>
              <w:t xml:space="preserve"> </w:t>
            </w:r>
            <w:r>
              <w:rPr>
                <w:rFonts w:ascii="Calibri" w:hAnsi="Calibri"/>
                <w:b w:val="false"/>
                <w:i w:val="false"/>
                <w:strike w:val="false"/>
                <w:dstrike w:val="false"/>
                <w:outline w:val="false"/>
                <w:shadow w:val="false"/>
                <w:color w:val="000000"/>
                <w:kern w:val="2"/>
                <w:sz w:val="20"/>
                <w:szCs w:val="20"/>
                <w:u w:val="none"/>
                <w:em w:val="none"/>
              </w:rPr>
              <w:t>ANTENA DIGITAL INTERNA</w:t>
            </w:r>
          </w:p>
        </w:tc>
        <w:tc>
          <w:tcPr>
            <w:tcW w:w="1133"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color w:val="000000"/>
                <w:sz w:val="21"/>
                <w:szCs w:val="21"/>
              </w:rPr>
              <w:t>417688</w:t>
            </w:r>
          </w:p>
        </w:tc>
        <w:tc>
          <w:tcPr>
            <w:tcW w:w="1417"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color w:val="000000"/>
                <w:sz w:val="21"/>
                <w:szCs w:val="21"/>
              </w:rPr>
              <w:t>Und</w:t>
            </w:r>
          </w:p>
        </w:tc>
        <w:tc>
          <w:tcPr>
            <w:tcW w:w="1564"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color w:val="000000"/>
                <w:sz w:val="21"/>
                <w:szCs w:val="21"/>
              </w:rPr>
              <w:t>1</w:t>
            </w:r>
          </w:p>
        </w:tc>
        <w:tc>
          <w:tcPr>
            <w:tcW w:w="1272"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color w:val="000000"/>
                <w:sz w:val="21"/>
                <w:szCs w:val="21"/>
              </w:rPr>
              <w:t>35,00</w:t>
            </w:r>
          </w:p>
        </w:tc>
        <w:tc>
          <w:tcPr>
            <w:tcW w:w="1558"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kern w:val="0"/>
                <w:sz w:val="21"/>
                <w:szCs w:val="21"/>
                <w:lang w:val="pt-BR" w:eastAsia="pt-BR" w:bidi="ar-SA"/>
              </w:rPr>
            </w:pPr>
            <w:r>
              <w:rPr>
                <w:rFonts w:eastAsia="Arial" w:cs="Arial" w:ascii="Calibri" w:hAnsi="Calibri"/>
                <w:color w:val="000000"/>
                <w:kern w:val="0"/>
                <w:sz w:val="21"/>
                <w:szCs w:val="21"/>
                <w:lang w:val="pt-BR" w:eastAsia="pt-BR" w:bidi="ar-SA"/>
              </w:rPr>
              <w:t>35,00</w:t>
            </w:r>
          </w:p>
        </w:tc>
      </w:tr>
      <w:tr>
        <w:trPr/>
        <w:tc>
          <w:tcPr>
            <w:tcW w:w="709"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b/>
                <w:b/>
                <w:bCs/>
                <w:color w:val="000000"/>
                <w:sz w:val="21"/>
                <w:szCs w:val="21"/>
              </w:rPr>
            </w:pPr>
            <w:r>
              <w:rPr>
                <w:rFonts w:eastAsia="Arial" w:cs="Arial" w:ascii="Calibri" w:hAnsi="Calibri"/>
                <w:b/>
                <w:bCs/>
                <w:color w:val="000000"/>
                <w:sz w:val="21"/>
                <w:szCs w:val="21"/>
              </w:rPr>
              <w:t>5</w:t>
            </w:r>
          </w:p>
        </w:tc>
        <w:tc>
          <w:tcPr>
            <w:tcW w:w="1985" w:type="dxa"/>
            <w:tcBorders>
              <w:left w:val="single" w:sz="4" w:space="0" w:color="000000"/>
              <w:bottom w:val="single" w:sz="4" w:space="0" w:color="000000"/>
              <w:right w:val="single" w:sz="4" w:space="0" w:color="000000"/>
            </w:tcBorders>
          </w:tcPr>
          <w:p>
            <w:pPr>
              <w:pStyle w:val="Normal"/>
              <w:widowControl w:val="false"/>
              <w:bidi w:val="0"/>
              <w:jc w:val="center"/>
              <w:rPr>
                <w:rFonts w:ascii="Calibri" w:hAnsi="Calibri"/>
                <w:b w:val="false"/>
                <w:b w:val="false"/>
                <w:i w:val="false"/>
                <w:i w:val="false"/>
                <w:strike w:val="false"/>
                <w:dstrike w:val="false"/>
                <w:outline w:val="false"/>
                <w:shadow w:val="false"/>
                <w:color w:val="000000"/>
                <w:kern w:val="2"/>
                <w:sz w:val="20"/>
                <w:szCs w:val="20"/>
                <w:u w:val="none"/>
                <w:em w:val="none"/>
              </w:rPr>
            </w:pPr>
            <w:r>
              <w:rPr>
                <w:rFonts w:ascii="Calibri" w:hAnsi="Calibri"/>
                <w:b w:val="false"/>
                <w:i w:val="false"/>
                <w:strike w:val="false"/>
                <w:dstrike w:val="false"/>
                <w:outline w:val="false"/>
                <w:shadow w:val="false"/>
                <w:color w:val="000000"/>
                <w:kern w:val="2"/>
                <w:sz w:val="20"/>
                <w:szCs w:val="20"/>
                <w:u w:val="none"/>
                <w:em w:val="none"/>
              </w:rPr>
              <w:t xml:space="preserve"> </w:t>
            </w:r>
            <w:r>
              <w:rPr>
                <w:rFonts w:ascii="Calibri" w:hAnsi="Calibri"/>
                <w:b w:val="false"/>
                <w:i w:val="false"/>
                <w:strike w:val="false"/>
                <w:dstrike w:val="false"/>
                <w:outline w:val="false"/>
                <w:shadow w:val="false"/>
                <w:color w:val="000000"/>
                <w:kern w:val="2"/>
                <w:sz w:val="20"/>
                <w:szCs w:val="20"/>
                <w:u w:val="none"/>
                <w:em w:val="none"/>
              </w:rPr>
              <w:t>TORNEIRA BICA MOVEL MESA P/ BANHEIRO C/ 1/4 DE VOLTA</w:t>
            </w:r>
          </w:p>
        </w:tc>
        <w:tc>
          <w:tcPr>
            <w:tcW w:w="1133"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color w:val="000000"/>
                <w:sz w:val="21"/>
                <w:szCs w:val="21"/>
              </w:rPr>
              <w:t>358129</w:t>
            </w:r>
          </w:p>
        </w:tc>
        <w:tc>
          <w:tcPr>
            <w:tcW w:w="1417"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color w:val="000000"/>
                <w:sz w:val="21"/>
                <w:szCs w:val="21"/>
              </w:rPr>
              <w:t>Und</w:t>
            </w:r>
          </w:p>
        </w:tc>
        <w:tc>
          <w:tcPr>
            <w:tcW w:w="1564"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color w:val="000000"/>
                <w:sz w:val="21"/>
                <w:szCs w:val="21"/>
              </w:rPr>
              <w:t>4</w:t>
            </w:r>
          </w:p>
        </w:tc>
        <w:tc>
          <w:tcPr>
            <w:tcW w:w="1272"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sz w:val="21"/>
                <w:szCs w:val="21"/>
              </w:rPr>
            </w:pPr>
            <w:r>
              <w:rPr>
                <w:rFonts w:eastAsia="Arial" w:cs="Arial" w:ascii="Calibri" w:hAnsi="Calibri"/>
                <w:color w:val="000000"/>
                <w:sz w:val="21"/>
                <w:szCs w:val="21"/>
              </w:rPr>
              <w:t>69,30</w:t>
            </w:r>
          </w:p>
        </w:tc>
        <w:tc>
          <w:tcPr>
            <w:tcW w:w="1558" w:type="dxa"/>
            <w:tcBorders>
              <w:left w:val="single" w:sz="4" w:space="0" w:color="000000"/>
              <w:bottom w:val="single" w:sz="4" w:space="0" w:color="000000"/>
              <w:right w:val="single" w:sz="4" w:space="0" w:color="000000"/>
            </w:tcBorders>
          </w:tcPr>
          <w:p>
            <w:pPr>
              <w:pStyle w:val="Normal"/>
              <w:widowControl w:val="false"/>
              <w:suppressAutoHyphens w:val="true"/>
              <w:spacing w:lineRule="auto" w:line="312" w:before="120" w:after="288"/>
              <w:jc w:val="center"/>
              <w:rPr>
                <w:rFonts w:ascii="Calibri" w:hAnsi="Calibri" w:eastAsia="Arial" w:cs="Arial"/>
                <w:color w:val="000000"/>
                <w:kern w:val="0"/>
                <w:sz w:val="21"/>
                <w:szCs w:val="21"/>
                <w:lang w:val="pt-BR" w:eastAsia="pt-BR" w:bidi="ar-SA"/>
              </w:rPr>
            </w:pPr>
            <w:r>
              <w:rPr>
                <w:rFonts w:eastAsia="Arial" w:cs="Arial" w:ascii="Calibri" w:hAnsi="Calibri"/>
                <w:color w:val="000000"/>
                <w:kern w:val="0"/>
                <w:sz w:val="21"/>
                <w:szCs w:val="21"/>
                <w:lang w:val="pt-BR" w:eastAsia="pt-BR" w:bidi="ar-SA"/>
              </w:rPr>
              <w:t>277,20</w:t>
            </w:r>
          </w:p>
        </w:tc>
      </w:tr>
    </w:tbl>
    <w:p>
      <w:pPr>
        <w:pStyle w:val="Nivel2"/>
        <w:numPr>
          <w:ilvl w:val="1"/>
          <w:numId w:val="151"/>
        </w:numPr>
        <w:ind w:left="0" w:hanging="0"/>
        <w:rPr>
          <w:rFonts w:ascii="Calibri" w:hAnsi="Calibri"/>
          <w:sz w:val="21"/>
          <w:szCs w:val="21"/>
        </w:rPr>
      </w:pPr>
      <w:commentRangeStart w:id="2"/>
      <w:r>
        <w:rPr>
          <w:rFonts w:ascii="Calibri" w:hAnsi="Calibri"/>
          <w:sz w:val="21"/>
          <w:szCs w:val="21"/>
        </w:rPr>
        <w:t>O objeto desta contratação não se enquadra como sendo de bem de luxo, conforme Decreto nº 10.818, de 27 de setembro de 2021.</w:t>
      </w:r>
      <w:commentRangeEnd w:id="2"/>
      <w:r>
        <w:commentReference w:id="2"/>
      </w:r>
      <w:r>
        <w:rPr>
          <w:rFonts w:ascii="Calibri" w:hAnsi="Calibri"/>
          <w:sz w:val="21"/>
          <w:szCs w:val="21"/>
        </w:rPr>
      </w:r>
    </w:p>
    <w:p>
      <w:pPr>
        <w:pStyle w:val="Nvel2Red"/>
        <w:numPr>
          <w:ilvl w:val="1"/>
          <w:numId w:val="152"/>
        </w:numPr>
        <w:ind w:left="0" w:hanging="0"/>
        <w:rPr>
          <w:rFonts w:ascii="Calibri" w:hAnsi="Calibri"/>
          <w:sz w:val="21"/>
          <w:szCs w:val="21"/>
        </w:rPr>
      </w:pPr>
      <w:r>
        <w:rPr>
          <w:rFonts w:ascii="Calibri" w:hAnsi="Calibri"/>
          <w:i w:val="false"/>
          <w:iCs w:val="false"/>
          <w:color w:val="auto"/>
          <w:sz w:val="21"/>
          <w:szCs w:val="21"/>
        </w:rPr>
        <w:t>O prazo de vigência da contratação é de 12 meses contados do recebimento da Nota de Empenho, na forma do artigo 105 da Lei n° 14.133, de 2021.</w:t>
      </w:r>
    </w:p>
    <w:p>
      <w:pPr>
        <w:pStyle w:val="Nivel2"/>
        <w:numPr>
          <w:ilvl w:val="1"/>
          <w:numId w:val="153"/>
        </w:numPr>
        <w:ind w:left="0" w:hanging="0"/>
        <w:rPr>
          <w:rFonts w:ascii="Calibri" w:hAnsi="Calibri"/>
          <w:sz w:val="21"/>
          <w:szCs w:val="21"/>
        </w:rPr>
      </w:pPr>
      <w:r>
        <w:rPr>
          <w:rFonts w:ascii="Calibri" w:hAnsi="Calibri"/>
          <w:sz w:val="21"/>
          <w:szCs w:val="21"/>
        </w:rPr>
        <w:t xml:space="preserve">O contrato </w:t>
      </w:r>
      <w:r>
        <w:rPr>
          <w:rFonts w:ascii="Calibri" w:hAnsi="Calibri"/>
          <w:sz w:val="21"/>
          <w:szCs w:val="21"/>
          <w:shd w:fill="auto" w:val="clear"/>
        </w:rPr>
        <w:t>ou outro instrumento hábil que o substitua</w:t>
      </w:r>
      <w:r>
        <w:rPr>
          <w:rFonts w:ascii="Calibri" w:hAnsi="Calibri"/>
          <w:sz w:val="21"/>
          <w:szCs w:val="21"/>
        </w:rPr>
        <w:t xml:space="preserve"> oferece maior detalhamento das regras que serão aplicadas em relação à vigência da contratação.</w:t>
      </w:r>
    </w:p>
    <w:p>
      <w:pPr>
        <w:pStyle w:val="Nivel01"/>
        <w:numPr>
          <w:ilvl w:val="0"/>
          <w:numId w:val="4"/>
        </w:numPr>
        <w:ind w:left="0" w:hanging="0"/>
        <w:rPr>
          <w:rFonts w:ascii="Calibri" w:hAnsi="Calibri"/>
          <w:sz w:val="21"/>
          <w:szCs w:val="21"/>
        </w:rPr>
      </w:pPr>
      <w:r>
        <w:rPr>
          <w:rFonts w:ascii="Calibri" w:hAnsi="Calibri"/>
          <w:sz w:val="21"/>
          <w:szCs w:val="21"/>
        </w:rPr>
        <w:t>FUNDAMENTAÇÃO E DESCRIÇÃO DA NECESSIDADE DA CONTRATAÇÃO</w:t>
      </w:r>
    </w:p>
    <w:p>
      <w:pPr>
        <w:pStyle w:val="Nivel2"/>
        <w:numPr>
          <w:ilvl w:val="1"/>
          <w:numId w:val="154"/>
        </w:numPr>
        <w:ind w:left="0" w:hanging="0"/>
        <w:rPr>
          <w:rFonts w:ascii="Calibri" w:hAnsi="Calibri"/>
          <w:sz w:val="21"/>
          <w:szCs w:val="21"/>
        </w:rPr>
      </w:pPr>
      <w:commentRangeStart w:id="3"/>
      <w:r>
        <w:rPr>
          <w:rFonts w:ascii="Calibri" w:hAnsi="Calibri"/>
          <w:sz w:val="21"/>
          <w:szCs w:val="21"/>
        </w:rPr>
        <w:t>A Fundamentação da Contratação e de seus quantitativos encontra-se pormenorizada em Tópico específico da Formalização da Demanda, apêndice deste Termo de Referência.</w:t>
      </w:r>
      <w:commentRangeEnd w:id="3"/>
      <w:r>
        <w:commentReference w:id="3"/>
      </w:r>
      <w:r>
        <w:rPr>
          <w:rFonts w:ascii="Calibri" w:hAnsi="Calibri"/>
          <w:sz w:val="21"/>
          <w:szCs w:val="21"/>
        </w:rPr>
      </w:r>
    </w:p>
    <w:p>
      <w:pPr>
        <w:pStyle w:val="Nivel2"/>
        <w:numPr>
          <w:ilvl w:val="1"/>
          <w:numId w:val="155"/>
        </w:numPr>
        <w:ind w:left="0" w:hanging="0"/>
        <w:rPr>
          <w:rFonts w:ascii="Calibri" w:hAnsi="Calibri"/>
          <w:sz w:val="21"/>
          <w:szCs w:val="21"/>
        </w:rPr>
      </w:pPr>
      <w:r>
        <w:rPr>
          <w:rFonts w:ascii="Calibri" w:hAnsi="Calibri"/>
          <w:i w:val="false"/>
          <w:iCs w:val="false"/>
          <w:color w:val="auto"/>
          <w:sz w:val="21"/>
          <w:szCs w:val="21"/>
        </w:rPr>
        <w:t>O objeto da contratação está previsto no Plano de Contratações Anual, conforme consta das informações básicas desse termo de referência.</w:t>
      </w:r>
    </w:p>
    <w:p>
      <w:pPr>
        <w:pStyle w:val="Nivel01"/>
        <w:numPr>
          <w:ilvl w:val="0"/>
          <w:numId w:val="4"/>
        </w:numPr>
        <w:ind w:left="0" w:hanging="0"/>
        <w:rPr>
          <w:rFonts w:ascii="Calibri" w:hAnsi="Calibri"/>
          <w:sz w:val="21"/>
          <w:szCs w:val="21"/>
        </w:rPr>
      </w:pPr>
      <w:r>
        <w:rPr>
          <w:rFonts w:ascii="Calibri" w:hAnsi="Calibri"/>
          <w:sz w:val="21"/>
          <w:szCs w:val="21"/>
        </w:rPr>
        <w:t>DESCRIÇÃO DA SOLUÇÃO COMO UM TODO CONSIDERADO O CICLO DE VIDA DO OBJETO E ESPECIFICAÇÃO DO PRODUTO</w:t>
      </w:r>
    </w:p>
    <w:p>
      <w:pPr>
        <w:pStyle w:val="Nvel2Red"/>
        <w:numPr>
          <w:ilvl w:val="1"/>
          <w:numId w:val="156"/>
        </w:numPr>
        <w:ind w:left="0" w:hanging="0"/>
        <w:rPr>
          <w:rFonts w:ascii="Calibri" w:hAnsi="Calibri"/>
          <w:sz w:val="21"/>
          <w:szCs w:val="21"/>
        </w:rPr>
      </w:pPr>
      <w:r>
        <w:rPr>
          <w:rFonts w:eastAsia="Times New Roman" w:cs="Times New Roman" w:ascii="Calibri" w:hAnsi="Calibri"/>
          <w:b w:val="false"/>
          <w:i w:val="false"/>
          <w:iCs w:val="false"/>
          <w:caps w:val="false"/>
          <w:smallCaps w:val="false"/>
          <w:strike w:val="false"/>
          <w:dstrike w:val="false"/>
          <w:color w:val="000000"/>
          <w:position w:val="0"/>
          <w:sz w:val="21"/>
          <w:sz w:val="21"/>
          <w:szCs w:val="21"/>
          <w:u w:val="none"/>
          <w:vertAlign w:val="baseline"/>
        </w:rPr>
        <w:t xml:space="preserve">A descrição da solução como um todo, envolve a escolha da melhor proposta para compra de material elétrico, de pintura e hidráulico para manutenção das instalações da SFPC </w:t>
      </w:r>
      <w:r>
        <w:rPr>
          <w:rFonts w:eastAsia="Times New Roman" w:cs="Times New Roman" w:ascii="Calibri" w:hAnsi="Calibri"/>
          <w:i w:val="false"/>
          <w:iCs w:val="false"/>
          <w:color w:val="000000"/>
          <w:sz w:val="21"/>
          <w:szCs w:val="21"/>
        </w:rPr>
        <w:t>do Pq R Mnt/7.</w:t>
      </w:r>
      <w:r>
        <w:rPr/>
        <w:commentReference w:id="4"/>
      </w:r>
    </w:p>
    <w:p>
      <w:pPr>
        <w:pStyle w:val="Nivel01"/>
        <w:numPr>
          <w:ilvl w:val="0"/>
          <w:numId w:val="4"/>
        </w:numPr>
        <w:ind w:left="0" w:hanging="0"/>
        <w:rPr>
          <w:rFonts w:ascii="Calibri" w:hAnsi="Calibri"/>
          <w:sz w:val="21"/>
          <w:szCs w:val="21"/>
        </w:rPr>
      </w:pPr>
      <w:commentRangeStart w:id="5"/>
      <w:r>
        <w:rPr>
          <w:rFonts w:ascii="Calibri" w:hAnsi="Calibri"/>
          <w:sz w:val="21"/>
          <w:szCs w:val="21"/>
        </w:rPr>
        <w:t>REQUISITOS DA CONTRATAÇÃO</w:t>
      </w:r>
      <w:commentRangeEnd w:id="5"/>
      <w:r>
        <w:commentReference w:id="5"/>
      </w:r>
      <w:r>
        <w:rPr>
          <w:rFonts w:ascii="Calibri" w:hAnsi="Calibri"/>
          <w:sz w:val="21"/>
          <w:szCs w:val="21"/>
        </w:rPr>
      </w:r>
    </w:p>
    <w:p>
      <w:pPr>
        <w:pStyle w:val="Nvel1SemNumPreto"/>
        <w:rPr>
          <w:rFonts w:ascii="Calibri" w:hAnsi="Calibri"/>
          <w:sz w:val="21"/>
          <w:szCs w:val="21"/>
        </w:rPr>
      </w:pPr>
      <w:r>
        <w:rPr>
          <w:rFonts w:ascii="Calibri" w:hAnsi="Calibri"/>
          <w:sz w:val="21"/>
          <w:szCs w:val="21"/>
        </w:rPr>
        <w:t>Sustentabilidade:</w:t>
      </w:r>
    </w:p>
    <w:p>
      <w:pPr>
        <w:pStyle w:val="Nivel2"/>
        <w:numPr>
          <w:ilvl w:val="1"/>
          <w:numId w:val="157"/>
        </w:numPr>
        <w:ind w:left="0" w:hanging="0"/>
        <w:rPr>
          <w:rFonts w:ascii="Calibri" w:hAnsi="Calibri"/>
          <w:sz w:val="21"/>
          <w:szCs w:val="21"/>
        </w:rPr>
      </w:pPr>
      <w:r>
        <w:rPr>
          <w:rFonts w:ascii="Calibri" w:hAnsi="Calibri"/>
          <w:sz w:val="21"/>
          <w:szCs w:val="21"/>
        </w:rPr>
        <w:t>Além dos critérios de sustentabilidade eventualmente inseridos na descrição do objeto, devem ser atendidos requisitos que se baseiam no Guia Nacional de Contratações Sustentáveis.</w:t>
      </w:r>
    </w:p>
    <w:p>
      <w:pPr>
        <w:pStyle w:val="Nvel1SemNum"/>
        <w:keepNext w:val="true"/>
        <w:keepLines/>
        <w:widowControl/>
        <w:numPr>
          <w:ilvl w:val="0"/>
          <w:numId w:val="0"/>
        </w:numPr>
        <w:suppressAutoHyphens w:val="true"/>
        <w:bidi w:val="0"/>
        <w:spacing w:lineRule="auto" w:line="276" w:before="240" w:after="120"/>
        <w:ind w:left="0" w:hanging="0"/>
        <w:jc w:val="both"/>
        <w:outlineLvl w:val="1"/>
        <w:rPr>
          <w:rFonts w:ascii="Calibri" w:hAnsi="Calibri"/>
          <w:sz w:val="21"/>
          <w:szCs w:val="21"/>
        </w:rPr>
      </w:pPr>
      <w:r>
        <w:rPr>
          <w:rFonts w:eastAsia="ＭＳ ゴシック" w:cs="Arial" w:ascii="Calibri" w:hAnsi="Calibri"/>
          <w:b/>
          <w:bCs/>
          <w:kern w:val="0"/>
          <w:sz w:val="21"/>
          <w:szCs w:val="21"/>
          <w:lang w:val="pt-BR" w:eastAsia="pt-BR" w:bidi="ar-SA"/>
        </w:rPr>
        <w:t>Indicação de marcas ou modelos:</w:t>
      </w:r>
    </w:p>
    <w:p>
      <w:pPr>
        <w:pStyle w:val="Nivel2"/>
        <w:numPr>
          <w:ilvl w:val="1"/>
          <w:numId w:val="158"/>
        </w:numPr>
        <w:ind w:left="0" w:hanging="0"/>
        <w:rPr>
          <w:rFonts w:ascii="Calibri" w:hAnsi="Calibri"/>
          <w:sz w:val="21"/>
          <w:szCs w:val="21"/>
        </w:rPr>
      </w:pPr>
      <w:commentRangeStart w:id="6"/>
      <w:r>
        <w:rPr>
          <w:rFonts w:ascii="Calibri" w:hAnsi="Calibri"/>
          <w:sz w:val="21"/>
          <w:szCs w:val="21"/>
        </w:rPr>
        <w:t>Na presente contratação será admitida a indicação de marcas, características ou modelos, de acordo com usuais de mercado e de boa qualidade.</w:t>
      </w:r>
      <w:commentRangeEnd w:id="6"/>
      <w:r>
        <w:commentReference w:id="6"/>
      </w:r>
      <w:r>
        <w:rPr>
          <w:rFonts w:ascii="Calibri" w:hAnsi="Calibri"/>
          <w:sz w:val="21"/>
          <w:szCs w:val="21"/>
        </w:rPr>
      </w:r>
    </w:p>
    <w:p>
      <w:pPr>
        <w:pStyle w:val="Nvel1SemNum"/>
        <w:rPr>
          <w:rFonts w:ascii="Calibri" w:hAnsi="Calibri"/>
          <w:sz w:val="21"/>
          <w:szCs w:val="21"/>
        </w:rPr>
      </w:pPr>
      <w:commentRangeStart w:id="7"/>
      <w:r>
        <w:rPr>
          <w:rFonts w:ascii="Calibri" w:hAnsi="Calibri"/>
          <w:sz w:val="21"/>
          <w:szCs w:val="21"/>
        </w:rPr>
        <w:t xml:space="preserve">Da vedação de contratação de marca ou produto </w:t>
      </w:r>
    </w:p>
    <w:p>
      <w:pPr>
        <w:pStyle w:val="Nvel2Red"/>
        <w:numPr>
          <w:ilvl w:val="1"/>
          <w:numId w:val="159"/>
        </w:numPr>
        <w:ind w:left="0" w:hanging="0"/>
        <w:rPr>
          <w:rFonts w:ascii="Calibri" w:hAnsi="Calibri"/>
          <w:sz w:val="21"/>
          <w:szCs w:val="21"/>
        </w:rPr>
      </w:pPr>
      <w:r>
        <w:rPr>
          <w:rFonts w:ascii="Calibri" w:hAnsi="Calibri"/>
          <w:i w:val="false"/>
          <w:iCs w:val="false"/>
          <w:color w:val="auto"/>
          <w:sz w:val="21"/>
          <w:szCs w:val="21"/>
        </w:rPr>
        <w:t>Diante das conclusões extraídas de processos anteriores, a Administração não aceitará o fornecimento de produtos/marcas de procedência duvidosa ou inferior.</w:t>
      </w:r>
    </w:p>
    <w:p>
      <w:pPr>
        <w:pStyle w:val="Nvel3R"/>
        <w:numPr>
          <w:ilvl w:val="0"/>
          <w:numId w:val="0"/>
        </w:numPr>
        <w:ind w:left="1781" w:hanging="0"/>
        <w:rPr>
          <w:rFonts w:ascii="Calibri" w:hAnsi="Calibri"/>
          <w:sz w:val="21"/>
          <w:szCs w:val="21"/>
        </w:rPr>
      </w:pPr>
      <w:commentRangeEnd w:id="7"/>
      <w:r>
        <w:commentReference w:id="7"/>
      </w:r>
      <w:r>
        <w:rPr/>
      </w:r>
    </w:p>
    <w:p>
      <w:pPr>
        <w:pStyle w:val="Nvel1SemNum"/>
        <w:rPr>
          <w:rFonts w:ascii="Calibri" w:hAnsi="Calibri"/>
          <w:sz w:val="21"/>
          <w:szCs w:val="21"/>
        </w:rPr>
      </w:pPr>
      <w:commentRangeStart w:id="8"/>
      <w:r>
        <w:rPr>
          <w:rFonts w:ascii="Calibri" w:hAnsi="Calibri"/>
          <w:sz w:val="21"/>
          <w:szCs w:val="21"/>
        </w:rPr>
        <w:t>Da exigência de amostra</w:t>
      </w:r>
    </w:p>
    <w:p>
      <w:pPr>
        <w:pStyle w:val="Nvel2Red"/>
        <w:numPr>
          <w:ilvl w:val="1"/>
          <w:numId w:val="160"/>
        </w:numPr>
        <w:ind w:left="0" w:hanging="0"/>
        <w:rPr>
          <w:rFonts w:ascii="Calibri" w:hAnsi="Calibri"/>
          <w:sz w:val="21"/>
          <w:szCs w:val="21"/>
        </w:rPr>
      </w:pPr>
      <w:r>
        <w:rPr>
          <w:rFonts w:ascii="Calibri" w:hAnsi="Calibri"/>
          <w:i w:val="false"/>
          <w:iCs w:val="false"/>
          <w:color w:val="auto"/>
          <w:sz w:val="21"/>
          <w:szCs w:val="21"/>
        </w:rPr>
        <w:t>Não haverá exigência de apresentação de amostra;</w:t>
      </w:r>
    </w:p>
    <w:p>
      <w:pPr>
        <w:pStyle w:val="Nvel2Red"/>
        <w:numPr>
          <w:ilvl w:val="1"/>
          <w:numId w:val="161"/>
        </w:numPr>
        <w:ind w:left="0" w:hanging="0"/>
        <w:rPr>
          <w:rFonts w:ascii="Calibri" w:hAnsi="Calibri"/>
          <w:sz w:val="21"/>
          <w:szCs w:val="21"/>
        </w:rPr>
      </w:pPr>
      <w:r>
        <w:rPr>
          <w:rFonts w:ascii="Calibri" w:hAnsi="Calibri"/>
          <w:i w:val="false"/>
          <w:iCs w:val="false"/>
          <w:color w:val="auto"/>
          <w:sz w:val="21"/>
          <w:szCs w:val="21"/>
        </w:rPr>
        <w:t>Os interessados deverão colocar à disposição da Administração todas as condições indispensáveis à realização de testes e fornecer, sem ônus, os manuais impressos em língua portuguesa, necessários ao seu perfeito manuseio, quando for o caso.</w:t>
      </w:r>
      <w:commentRangeEnd w:id="8"/>
      <w:r>
        <w:commentReference w:id="8"/>
      </w:r>
      <w:r>
        <w:rPr>
          <w:rFonts w:ascii="Calibri" w:hAnsi="Calibri"/>
          <w:i w:val="false"/>
          <w:iCs w:val="false"/>
          <w:color w:val="auto"/>
          <w:sz w:val="21"/>
          <w:szCs w:val="21"/>
        </w:rPr>
      </w:r>
    </w:p>
    <w:p>
      <w:pPr>
        <w:pStyle w:val="Nvel1SemNum"/>
        <w:rPr>
          <w:rFonts w:ascii="Calibri" w:hAnsi="Calibri"/>
          <w:sz w:val="21"/>
          <w:szCs w:val="21"/>
        </w:rPr>
      </w:pPr>
      <w:commentRangeStart w:id="9"/>
      <w:r>
        <w:rPr>
          <w:rFonts w:ascii="Calibri" w:hAnsi="Calibri"/>
          <w:sz w:val="21"/>
          <w:szCs w:val="21"/>
        </w:rPr>
        <w:t>Da exigência de carta de solidariedade</w:t>
      </w:r>
    </w:p>
    <w:p>
      <w:pPr>
        <w:pStyle w:val="Nvel2Red"/>
        <w:numPr>
          <w:ilvl w:val="1"/>
          <w:numId w:val="162"/>
        </w:numPr>
        <w:ind w:left="0" w:hanging="0"/>
        <w:rPr>
          <w:rFonts w:ascii="Calibri" w:hAnsi="Calibri"/>
          <w:sz w:val="21"/>
          <w:szCs w:val="21"/>
        </w:rPr>
      </w:pPr>
      <w:r>
        <w:rPr>
          <w:rFonts w:ascii="Calibri" w:hAnsi="Calibri"/>
          <w:i w:val="false"/>
          <w:iCs w:val="false"/>
          <w:color w:val="auto"/>
          <w:sz w:val="21"/>
          <w:szCs w:val="21"/>
        </w:rPr>
        <w:t>Em caso de fornecedor revendedor ou distribuidor, será exigida carta de solidariedade emitida pelo fabricante, que assegure a execução do contrato.</w:t>
      </w:r>
      <w:commentRangeEnd w:id="9"/>
      <w:r>
        <w:commentReference w:id="9"/>
      </w:r>
      <w:r>
        <w:rPr>
          <w:rFonts w:ascii="Calibri" w:hAnsi="Calibri"/>
          <w:i w:val="false"/>
          <w:iCs w:val="false"/>
          <w:color w:val="auto"/>
          <w:sz w:val="21"/>
          <w:szCs w:val="21"/>
        </w:rPr>
      </w:r>
    </w:p>
    <w:p>
      <w:pPr>
        <w:pStyle w:val="Nvel1SemNumPreto"/>
        <w:rPr>
          <w:rFonts w:ascii="Calibri" w:hAnsi="Calibri"/>
          <w:sz w:val="21"/>
          <w:szCs w:val="21"/>
        </w:rPr>
      </w:pPr>
      <w:r>
        <w:rPr>
          <w:rFonts w:ascii="Calibri" w:hAnsi="Calibri"/>
          <w:sz w:val="21"/>
          <w:szCs w:val="21"/>
        </w:rPr>
        <w:t>Subcontratação</w:t>
      </w:r>
    </w:p>
    <w:p>
      <w:pPr>
        <w:pStyle w:val="Nivel2"/>
        <w:numPr>
          <w:ilvl w:val="1"/>
          <w:numId w:val="163"/>
        </w:numPr>
        <w:ind w:left="0" w:hanging="0"/>
        <w:rPr>
          <w:rFonts w:ascii="Calibri" w:hAnsi="Calibri"/>
          <w:sz w:val="21"/>
          <w:szCs w:val="21"/>
        </w:rPr>
      </w:pPr>
      <w:commentRangeStart w:id="10"/>
      <w:r>
        <w:rPr>
          <w:rFonts w:ascii="Calibri" w:hAnsi="Calibri"/>
          <w:sz w:val="21"/>
          <w:szCs w:val="21"/>
        </w:rPr>
        <w:t>Não é admitida a subcontratação do objeto contratual.</w:t>
      </w:r>
      <w:commentRangeEnd w:id="10"/>
      <w:r>
        <w:commentReference w:id="10"/>
      </w:r>
      <w:r>
        <w:rPr>
          <w:rFonts w:ascii="Calibri" w:hAnsi="Calibri"/>
          <w:sz w:val="21"/>
          <w:szCs w:val="21"/>
        </w:rPr>
      </w:r>
    </w:p>
    <w:p>
      <w:pPr>
        <w:pStyle w:val="Nivel2"/>
        <w:numPr>
          <w:ilvl w:val="1"/>
          <w:numId w:val="164"/>
        </w:numPr>
        <w:ind w:left="0" w:hanging="0"/>
        <w:rPr>
          <w:rFonts w:ascii="Calibri" w:hAnsi="Calibri"/>
          <w:sz w:val="21"/>
          <w:szCs w:val="21"/>
        </w:rPr>
      </w:pPr>
      <w:commentRangeStart w:id="11"/>
      <w:r>
        <w:rPr>
          <w:rFonts w:ascii="Calibri" w:hAnsi="Calibri"/>
          <w:sz w:val="21"/>
          <w:szCs w:val="21"/>
        </w:rPr>
        <w:t>O contrato oferece maior detalhamento das regras que serão aplicadas em relação à subcontratação, caso admitida.</w:t>
      </w:r>
      <w:commentRangeEnd w:id="11"/>
      <w:r>
        <w:commentReference w:id="11"/>
      </w:r>
      <w:r>
        <w:rPr>
          <w:rFonts w:ascii="Calibri" w:hAnsi="Calibri"/>
          <w:sz w:val="21"/>
          <w:szCs w:val="21"/>
        </w:rPr>
      </w:r>
    </w:p>
    <w:p>
      <w:pPr>
        <w:pStyle w:val="Nvel1SemNumPreto"/>
        <w:rPr>
          <w:rFonts w:ascii="Calibri" w:hAnsi="Calibri"/>
          <w:sz w:val="21"/>
          <w:szCs w:val="21"/>
        </w:rPr>
      </w:pPr>
      <w:commentRangeStart w:id="12"/>
      <w:r>
        <w:rPr>
          <w:rFonts w:ascii="Calibri" w:hAnsi="Calibri"/>
          <w:sz w:val="21"/>
          <w:szCs w:val="21"/>
        </w:rPr>
        <w:t>Garantia da contratação</w:t>
      </w:r>
      <w:commentRangeEnd w:id="12"/>
      <w:r>
        <w:commentReference w:id="12"/>
      </w:r>
      <w:r>
        <w:rPr>
          <w:rFonts w:ascii="Calibri" w:hAnsi="Calibri"/>
          <w:sz w:val="21"/>
          <w:szCs w:val="21"/>
        </w:rPr>
      </w:r>
    </w:p>
    <w:p>
      <w:pPr>
        <w:pStyle w:val="Nvel2Red"/>
        <w:numPr>
          <w:ilvl w:val="1"/>
          <w:numId w:val="165"/>
        </w:numPr>
        <w:ind w:left="0" w:hanging="0"/>
        <w:rPr/>
      </w:pPr>
      <w:r>
        <w:rPr>
          <w:rFonts w:ascii="Calibri" w:hAnsi="Calibri"/>
          <w:i w:val="false"/>
          <w:iCs w:val="false"/>
          <w:color w:val="auto"/>
          <w:sz w:val="21"/>
          <w:szCs w:val="21"/>
        </w:rPr>
        <w:t xml:space="preserve">Não haverá exigência da garantia da contratação dos </w:t>
      </w:r>
      <w:r>
        <w:fldChar w:fldCharType="begin"/>
      </w:r>
      <w:r>
        <w:rPr>
          <w:rStyle w:val="LinkdaInternet"/>
          <w:sz w:val="21"/>
          <w:i w:val="false"/>
          <w:szCs w:val="21"/>
          <w:iCs w:val="false"/>
          <w:rFonts w:ascii="Calibri" w:hAnsi="Calibri"/>
          <w:color w:val="auto"/>
        </w:rPr>
        <w:instrText> HYPERLINK "http://www.planalto.gov.br/ccivil_03/_ato2019-2022/2021/lei/L14133.htm" \l "art96"</w:instrText>
      </w:r>
      <w:r>
        <w:rPr>
          <w:rStyle w:val="LinkdaInternet"/>
          <w:sz w:val="21"/>
          <w:i w:val="false"/>
          <w:szCs w:val="21"/>
          <w:iCs w:val="false"/>
          <w:rFonts w:ascii="Calibri" w:hAnsi="Calibri"/>
          <w:color w:val="auto"/>
        </w:rPr>
        <w:fldChar w:fldCharType="separate"/>
      </w:r>
      <w:r>
        <w:rPr>
          <w:rStyle w:val="LinkdaInternet"/>
          <w:rFonts w:ascii="Calibri" w:hAnsi="Calibri"/>
          <w:i w:val="false"/>
          <w:iCs w:val="false"/>
          <w:color w:val="auto"/>
          <w:sz w:val="21"/>
          <w:szCs w:val="21"/>
        </w:rPr>
        <w:t>artigos 96 e seguintes da Lei nº 14.133, de 2021</w:t>
      </w:r>
      <w:r>
        <w:rPr>
          <w:rStyle w:val="LinkdaInternet"/>
          <w:sz w:val="21"/>
          <w:i w:val="false"/>
          <w:szCs w:val="21"/>
          <w:iCs w:val="false"/>
          <w:rFonts w:ascii="Calibri" w:hAnsi="Calibri"/>
          <w:color w:val="auto"/>
        </w:rPr>
        <w:fldChar w:fldCharType="end"/>
      </w:r>
      <w:r>
        <w:rPr>
          <w:rStyle w:val="LinkdaInternet"/>
          <w:rFonts w:ascii="Calibri" w:hAnsi="Calibri"/>
          <w:i w:val="false"/>
          <w:iCs w:val="false"/>
          <w:color w:val="auto"/>
          <w:sz w:val="21"/>
          <w:szCs w:val="21"/>
        </w:rPr>
        <w:t>.</w:t>
      </w:r>
    </w:p>
    <w:p>
      <w:pPr>
        <w:pStyle w:val="Nivel01"/>
        <w:numPr>
          <w:ilvl w:val="0"/>
          <w:numId w:val="4"/>
        </w:numPr>
        <w:ind w:left="0" w:hanging="0"/>
        <w:rPr>
          <w:rFonts w:ascii="Calibri" w:hAnsi="Calibri"/>
          <w:sz w:val="21"/>
          <w:szCs w:val="21"/>
        </w:rPr>
      </w:pPr>
      <w:commentRangeStart w:id="13"/>
      <w:r>
        <w:rPr>
          <w:rFonts w:ascii="Calibri" w:hAnsi="Calibri"/>
          <w:sz w:val="21"/>
          <w:szCs w:val="21"/>
        </w:rPr>
        <w:t>MODELO DE EXECUÇÃO DO OBJETO</w:t>
      </w:r>
      <w:commentRangeEnd w:id="13"/>
      <w:r>
        <w:commentReference w:id="13"/>
      </w:r>
      <w:r>
        <w:rPr>
          <w:rFonts w:ascii="Calibri" w:hAnsi="Calibri"/>
          <w:sz w:val="21"/>
          <w:szCs w:val="21"/>
        </w:rPr>
      </w:r>
    </w:p>
    <w:p>
      <w:pPr>
        <w:pStyle w:val="Nvel1SemNum"/>
        <w:rPr>
          <w:rFonts w:ascii="Calibri" w:hAnsi="Calibri"/>
          <w:sz w:val="21"/>
          <w:szCs w:val="21"/>
        </w:rPr>
      </w:pPr>
      <w:r>
        <w:rPr>
          <w:rFonts w:ascii="Calibri" w:hAnsi="Calibri"/>
          <w:sz w:val="21"/>
          <w:szCs w:val="21"/>
        </w:rPr>
        <w:t>Condições de Entrega</w:t>
      </w:r>
    </w:p>
    <w:p>
      <w:pPr>
        <w:pStyle w:val="Nvel2Red"/>
        <w:numPr>
          <w:ilvl w:val="1"/>
          <w:numId w:val="166"/>
        </w:numPr>
        <w:ind w:left="0" w:hanging="0"/>
        <w:rPr>
          <w:rFonts w:ascii="Calibri" w:hAnsi="Calibri"/>
          <w:sz w:val="21"/>
          <w:szCs w:val="21"/>
        </w:rPr>
      </w:pPr>
      <w:r>
        <w:rPr>
          <w:rFonts w:ascii="Calibri" w:hAnsi="Calibri"/>
          <w:i w:val="false"/>
          <w:iCs w:val="false"/>
          <w:color w:val="auto"/>
          <w:sz w:val="21"/>
          <w:szCs w:val="21"/>
        </w:rPr>
        <w:t xml:space="preserve">O prazo de entrega dos bens é de 10 (dez)dias, contados do recebimento da Nota de Empenho, em remessa única. </w:t>
      </w:r>
    </w:p>
    <w:p>
      <w:pPr>
        <w:pStyle w:val="Nvel2Red"/>
        <w:numPr>
          <w:ilvl w:val="0"/>
          <w:numId w:val="0"/>
        </w:numPr>
        <w:ind w:left="999" w:hanging="0"/>
        <w:rPr>
          <w:rFonts w:ascii="Calibri" w:hAnsi="Calibri"/>
          <w:sz w:val="21"/>
          <w:szCs w:val="21"/>
        </w:rPr>
      </w:pPr>
      <w:r>
        <w:rPr/>
        <w:commentReference w:id="14"/>
      </w:r>
    </w:p>
    <w:p>
      <w:pPr>
        <w:pStyle w:val="Nvel2Red"/>
        <w:numPr>
          <w:ilvl w:val="1"/>
          <w:numId w:val="167"/>
        </w:numPr>
        <w:ind w:left="0" w:hanging="0"/>
        <w:rPr>
          <w:rFonts w:ascii="Calibri" w:hAnsi="Calibri"/>
          <w:sz w:val="21"/>
          <w:szCs w:val="21"/>
        </w:rPr>
      </w:pPr>
      <w:r>
        <w:rPr>
          <w:rFonts w:ascii="Calibri" w:hAnsi="Calibri"/>
          <w:i w:val="false"/>
          <w:iCs w:val="false"/>
          <w:color w:val="auto"/>
          <w:sz w:val="21"/>
          <w:szCs w:val="21"/>
        </w:rPr>
        <w:t>Caso não seja possível a entrega na data assinalada, a empresa deverá comunicar as razões respectivas com pelo menos 02 (dois) dias de antecedência para que qualquer pleito de prorrogação de prazo seja analisado, ressalvadas situações de caso fortuito e força maior.</w:t>
      </w:r>
    </w:p>
    <w:p>
      <w:pPr>
        <w:pStyle w:val="Nivel2"/>
        <w:numPr>
          <w:ilvl w:val="1"/>
          <w:numId w:val="168"/>
        </w:numPr>
        <w:ind w:left="0" w:hanging="0"/>
        <w:rPr>
          <w:rFonts w:ascii="Calibri" w:hAnsi="Calibri"/>
          <w:sz w:val="21"/>
          <w:szCs w:val="21"/>
        </w:rPr>
      </w:pPr>
      <w:commentRangeStart w:id="15"/>
      <w:r>
        <w:rPr>
          <w:rFonts w:ascii="Calibri" w:hAnsi="Calibri"/>
          <w:sz w:val="21"/>
          <w:szCs w:val="21"/>
        </w:rPr>
        <w:t>Os bens deverão ser entregues no seguinte endereço: Avenida 17 de agosto, nº 784, Casa Forte, Recife-PE.</w:t>
      </w:r>
      <w:commentRangeEnd w:id="15"/>
      <w:r>
        <w:commentReference w:id="15"/>
      </w:r>
      <w:r>
        <w:rPr>
          <w:rFonts w:ascii="Calibri" w:hAnsi="Calibri"/>
          <w:sz w:val="21"/>
          <w:szCs w:val="21"/>
        </w:rPr>
      </w:r>
    </w:p>
    <w:p>
      <w:pPr>
        <w:pStyle w:val="Nvel2Red"/>
        <w:numPr>
          <w:ilvl w:val="1"/>
          <w:numId w:val="169"/>
        </w:numPr>
        <w:ind w:left="0" w:hanging="0"/>
        <w:rPr>
          <w:rFonts w:ascii="Calibri" w:hAnsi="Calibri"/>
          <w:sz w:val="21"/>
          <w:szCs w:val="21"/>
        </w:rPr>
      </w:pPr>
      <w:r>
        <w:rPr>
          <w:rFonts w:ascii="Calibri" w:hAnsi="Calibri"/>
          <w:i w:val="false"/>
          <w:iCs w:val="false"/>
          <w:color w:val="auto"/>
          <w:sz w:val="21"/>
          <w:szCs w:val="21"/>
        </w:rPr>
        <w:t>No caso de produtos perecíveis, o prazo de validade na data da entrega não poderá ser inferior a 30 (trinta) dias do prazo total recomendado pelo fabricante.</w:t>
      </w:r>
    </w:p>
    <w:p>
      <w:pPr>
        <w:pStyle w:val="Nvel1SemNumPreto"/>
        <w:rPr>
          <w:rFonts w:ascii="Calibri" w:hAnsi="Calibri"/>
          <w:sz w:val="21"/>
          <w:szCs w:val="21"/>
        </w:rPr>
      </w:pPr>
      <w:commentRangeStart w:id="16"/>
      <w:r>
        <w:rPr>
          <w:rFonts w:ascii="Calibri" w:hAnsi="Calibri"/>
          <w:sz w:val="21"/>
          <w:szCs w:val="21"/>
        </w:rPr>
        <w:t>Garantia, manutenção e assistência técnica</w:t>
      </w:r>
      <w:commentRangeEnd w:id="16"/>
      <w:r>
        <w:commentReference w:id="16"/>
      </w:r>
      <w:r>
        <w:rPr>
          <w:rFonts w:ascii="Calibri" w:hAnsi="Calibri"/>
          <w:sz w:val="21"/>
          <w:szCs w:val="21"/>
        </w:rPr>
      </w:r>
    </w:p>
    <w:p>
      <w:pPr>
        <w:pStyle w:val="Nvel2Red"/>
        <w:numPr>
          <w:ilvl w:val="1"/>
          <w:numId w:val="170"/>
        </w:numPr>
        <w:ind w:left="0" w:hanging="0"/>
        <w:rPr>
          <w:rFonts w:ascii="Calibri" w:hAnsi="Calibri"/>
          <w:sz w:val="21"/>
          <w:szCs w:val="21"/>
        </w:rPr>
      </w:pPr>
      <w:commentRangeStart w:id="17"/>
      <w:r>
        <w:rPr>
          <w:rFonts w:ascii="Calibri" w:hAnsi="Calibri"/>
          <w:i w:val="false"/>
          <w:iCs w:val="false"/>
          <w:color w:val="auto"/>
          <w:sz w:val="21"/>
          <w:szCs w:val="21"/>
        </w:rPr>
        <w:t>O prazo de garantia é aquele estabelecido na Lei nº 8.078, de 11 de setembro de 1990 (Código de Defesa do Consumidor)</w:t>
      </w:r>
      <w:commentRangeEnd w:id="17"/>
      <w:r>
        <w:commentReference w:id="17"/>
      </w:r>
      <w:r>
        <w:rPr>
          <w:rFonts w:ascii="Calibri" w:hAnsi="Calibri"/>
          <w:i w:val="false"/>
          <w:iCs w:val="false"/>
          <w:color w:val="auto"/>
          <w:sz w:val="21"/>
          <w:szCs w:val="21"/>
        </w:rPr>
      </w:r>
    </w:p>
    <w:p>
      <w:pPr>
        <w:pStyle w:val="Nvel2Red"/>
        <w:numPr>
          <w:ilvl w:val="0"/>
          <w:numId w:val="0"/>
        </w:numPr>
        <w:ind w:left="999" w:hanging="0"/>
        <w:rPr>
          <w:rFonts w:ascii="Calibri" w:hAnsi="Calibri"/>
          <w:sz w:val="21"/>
          <w:szCs w:val="21"/>
        </w:rPr>
      </w:pPr>
      <w:r>
        <w:rPr/>
        <w:commentReference w:id="18"/>
      </w:r>
    </w:p>
    <w:p>
      <w:pPr>
        <w:pStyle w:val="Nivel01"/>
        <w:numPr>
          <w:ilvl w:val="0"/>
          <w:numId w:val="4"/>
        </w:numPr>
        <w:ind w:left="0" w:hanging="0"/>
        <w:rPr>
          <w:rFonts w:ascii="Calibri" w:hAnsi="Calibri"/>
          <w:sz w:val="21"/>
          <w:szCs w:val="21"/>
        </w:rPr>
      </w:pPr>
      <w:r>
        <w:rPr>
          <w:rFonts w:ascii="Calibri" w:hAnsi="Calibri"/>
          <w:sz w:val="21"/>
          <w:szCs w:val="21"/>
        </w:rPr>
        <w:t>MODELO DE GESTÃO DO CONTRATO</w:t>
      </w:r>
    </w:p>
    <w:p>
      <w:pPr>
        <w:pStyle w:val="Nivel2"/>
        <w:numPr>
          <w:ilvl w:val="1"/>
          <w:numId w:val="171"/>
        </w:numPr>
        <w:ind w:left="0" w:hanging="0"/>
        <w:rPr>
          <w:rFonts w:ascii="Calibri" w:hAnsi="Calibri"/>
          <w:sz w:val="21"/>
          <w:szCs w:val="21"/>
        </w:rPr>
      </w:pPr>
      <w:r>
        <w:rPr>
          <w:rFonts w:ascii="Calibri" w:hAnsi="Calibri"/>
          <w:sz w:val="21"/>
          <w:szCs w:val="21"/>
        </w:rPr>
        <w:t>O contrato deverá ser executado fielmente pelas partes, de acordo com as cláusulas avençadas e as normas da Lei nº 14.133, de 2021, e cada parte responderá pelas consequências de sua inexecução total ou parcial.</w:t>
      </w:r>
    </w:p>
    <w:p>
      <w:pPr>
        <w:pStyle w:val="Nivel2"/>
        <w:numPr>
          <w:ilvl w:val="1"/>
          <w:numId w:val="172"/>
        </w:numPr>
        <w:ind w:left="0" w:hanging="0"/>
        <w:rPr>
          <w:rFonts w:ascii="Calibri" w:hAnsi="Calibri"/>
          <w:sz w:val="21"/>
          <w:szCs w:val="21"/>
        </w:rPr>
      </w:pPr>
      <w:r>
        <w:rPr>
          <w:rFonts w:ascii="Calibri" w:hAnsi="Calibri"/>
          <w:sz w:val="21"/>
          <w:szCs w:val="21"/>
        </w:rPr>
        <w:t>Em caso de impedimento, ordem de paralisação ou suspensão do contrato, o cronograma de execução será prorrogado automaticamente pelo tempo correspondente, anotadas tais circunstâncias mediante simples apostila.</w:t>
      </w:r>
    </w:p>
    <w:p>
      <w:pPr>
        <w:pStyle w:val="Nivel2"/>
        <w:numPr>
          <w:ilvl w:val="1"/>
          <w:numId w:val="173"/>
        </w:numPr>
        <w:ind w:left="0" w:hanging="0"/>
        <w:rPr>
          <w:rFonts w:ascii="Calibri" w:hAnsi="Calibri"/>
          <w:sz w:val="21"/>
          <w:szCs w:val="21"/>
        </w:rPr>
      </w:pPr>
      <w:r>
        <w:rPr>
          <w:rFonts w:ascii="Calibri" w:hAnsi="Calibri"/>
          <w:sz w:val="21"/>
          <w:szCs w:val="21"/>
        </w:rPr>
        <w:t>As comunicações entre o órgão ou entidade e a contratada devem ser realizadas por escrito sempre que o ato exigir tal formalidade, admitindo-se o uso de mensagem eletrônica para esse fim.</w:t>
      </w:r>
    </w:p>
    <w:p>
      <w:pPr>
        <w:pStyle w:val="Nivel2"/>
        <w:numPr>
          <w:ilvl w:val="1"/>
          <w:numId w:val="174"/>
        </w:numPr>
        <w:ind w:left="0" w:hanging="0"/>
        <w:rPr>
          <w:rFonts w:ascii="Calibri" w:hAnsi="Calibri"/>
          <w:sz w:val="21"/>
          <w:szCs w:val="21"/>
        </w:rPr>
      </w:pPr>
      <w:r>
        <w:rPr>
          <w:rFonts w:ascii="Calibri" w:hAnsi="Calibri"/>
          <w:sz w:val="21"/>
          <w:szCs w:val="21"/>
        </w:rPr>
        <w:t>O órgão ou entidade poderá convocar representante da empresa para adoção de providências que devam ser cumpridas de imediato.</w:t>
      </w:r>
    </w:p>
    <w:p>
      <w:pPr>
        <w:pStyle w:val="Nivel2"/>
        <w:numPr>
          <w:ilvl w:val="1"/>
          <w:numId w:val="175"/>
        </w:numPr>
        <w:ind w:left="0" w:hanging="0"/>
        <w:rPr>
          <w:rFonts w:ascii="Calibri" w:hAnsi="Calibri"/>
          <w:sz w:val="21"/>
          <w:szCs w:val="21"/>
        </w:rPr>
      </w:pPr>
      <w:r>
        <w:rPr>
          <w:rFonts w:ascii="Calibri" w:hAnsi="Calibri"/>
          <w:sz w:val="21"/>
          <w:szCs w:val="21"/>
        </w:rPr>
        <w:t xml:space="preserve"> </w:t>
      </w:r>
      <w:r>
        <w:rPr>
          <w:rFonts w:ascii="Calibri" w:hAnsi="Calibri"/>
          <w:sz w:val="21"/>
          <w:szCs w:val="21"/>
        </w:rPr>
        <w:t>Após a assinatura do contrato ou instrumento equivalente</w:t>
      </w:r>
      <w:r>
        <w:rPr>
          <w:rFonts w:ascii="Calibri" w:hAnsi="Calibri"/>
          <w:strike/>
          <w:sz w:val="21"/>
          <w:szCs w:val="21"/>
        </w:rPr>
        <w:t>,</w:t>
      </w:r>
      <w:r>
        <w:rPr>
          <w:rFonts w:ascii="Calibri" w:hAnsi="Calibri"/>
          <w:sz w:val="21"/>
          <w:szCs w:val="21"/>
        </w:rPr>
        <w:t xml:space="preserve"> o órgão ou entidade poderá convocar o representante da empresa contratada para reunião inicial para apresentação do plano de fiscalização, que conterá informações acerca das obrigações contratuais, dos mecanismos de fiscalização, das estratégias para execução do objeto, do plano complementar de execução da contratada, quando houver, do método de aferição dos resultados e das sanções aplicáveis, dentre outros.</w:t>
      </w:r>
    </w:p>
    <w:p>
      <w:pPr>
        <w:pStyle w:val="Nivel2"/>
        <w:numPr>
          <w:ilvl w:val="0"/>
          <w:numId w:val="0"/>
        </w:numPr>
        <w:ind w:left="0" w:hanging="0"/>
        <w:rPr>
          <w:rFonts w:ascii="Calibri" w:hAnsi="Calibri"/>
          <w:sz w:val="21"/>
          <w:szCs w:val="21"/>
        </w:rPr>
      </w:pPr>
      <w:r>
        <w:rPr>
          <w:rFonts w:ascii="Calibri" w:hAnsi="Calibri"/>
          <w:b/>
          <w:bCs/>
          <w:sz w:val="21"/>
          <w:szCs w:val="21"/>
        </w:rPr>
        <w:t>Fiscalização</w:t>
      </w:r>
    </w:p>
    <w:p>
      <w:pPr>
        <w:pStyle w:val="Nivel2"/>
        <w:numPr>
          <w:ilvl w:val="1"/>
          <w:numId w:val="176"/>
        </w:numPr>
        <w:ind w:left="0" w:hanging="0"/>
        <w:rPr/>
      </w:pPr>
      <w:commentRangeStart w:id="19"/>
      <w:r>
        <w:rPr>
          <w:rFonts w:ascii="Calibri" w:hAnsi="Calibri"/>
          <w:sz w:val="21"/>
          <w:szCs w:val="21"/>
        </w:rPr>
        <w:t>A execução do contrato deverá ser acompanhada e fiscalizada pelo(s) fiscal(is) do contrato, ou pelos respectivos substitutos (</w:t>
      </w:r>
      <w:r>
        <w:fldChar w:fldCharType="begin"/>
      </w:r>
      <w:r>
        <w:rPr>
          <w:rStyle w:val="LinkdaInternet"/>
          <w:sz w:val="21"/>
          <w:szCs w:val="21"/>
          <w:rFonts w:ascii="Calibri" w:hAnsi="Calibri"/>
        </w:rPr>
        <w:instrText> HYPERLINK "http://www.planalto.gov.br/ccivil_03/_ato2019-2022/2021/lei/L14133.htm" \l "art117"</w:instrText>
      </w:r>
      <w:r>
        <w:rPr>
          <w:rStyle w:val="LinkdaInternet"/>
          <w:sz w:val="21"/>
          <w:szCs w:val="21"/>
          <w:rFonts w:ascii="Calibri" w:hAnsi="Calibri"/>
        </w:rPr>
        <w:fldChar w:fldCharType="separate"/>
      </w:r>
      <w:r>
        <w:rPr>
          <w:rStyle w:val="LinkdaInternet"/>
          <w:rFonts w:ascii="Calibri" w:hAnsi="Calibri"/>
          <w:sz w:val="21"/>
          <w:szCs w:val="21"/>
        </w:rPr>
        <w:t>Lei nº 14.133, de 2021, art. 117, caput</w:t>
      </w:r>
      <w:r>
        <w:rPr>
          <w:rStyle w:val="LinkdaInternet"/>
          <w:sz w:val="21"/>
          <w:szCs w:val="21"/>
          <w:rFonts w:ascii="Calibri" w:hAnsi="Calibri"/>
        </w:rPr>
        <w:fldChar w:fldCharType="end"/>
      </w:r>
      <w:r>
        <w:rPr>
          <w:rFonts w:ascii="Calibri" w:hAnsi="Calibri"/>
          <w:sz w:val="21"/>
          <w:szCs w:val="21"/>
        </w:rPr>
        <w:t>).</w:t>
      </w:r>
    </w:p>
    <w:p>
      <w:pPr>
        <w:pStyle w:val="Nvel1SemNumPreto"/>
        <w:rPr>
          <w:rFonts w:ascii="Calibri" w:hAnsi="Calibri"/>
          <w:sz w:val="21"/>
          <w:szCs w:val="21"/>
        </w:rPr>
      </w:pPr>
      <w:r>
        <w:rPr>
          <w:rFonts w:ascii="Calibri" w:hAnsi="Calibri"/>
          <w:sz w:val="21"/>
          <w:szCs w:val="21"/>
        </w:rPr>
        <w:t>Fiscalização Técnica</w:t>
      </w:r>
    </w:p>
    <w:p>
      <w:pPr>
        <w:pStyle w:val="Nivel2"/>
        <w:numPr>
          <w:ilvl w:val="1"/>
          <w:numId w:val="177"/>
        </w:numPr>
        <w:ind w:left="0" w:hanging="0"/>
        <w:rPr>
          <w:rFonts w:ascii="Calibri" w:hAnsi="Calibri"/>
          <w:sz w:val="21"/>
          <w:szCs w:val="21"/>
        </w:rPr>
      </w:pPr>
      <w:r>
        <w:rPr>
          <w:rFonts w:ascii="Calibri" w:hAnsi="Calibri"/>
          <w:sz w:val="21"/>
          <w:szCs w:val="21"/>
        </w:rPr>
        <w:t>O fiscal técnico do contrato acompanhará a execução do contrato, para que sejam cumpridas todas as condições estabelecidas no contrato, de modo a assegurar os melhores resultados para a Administração. (Decreto nº 11.246, de 2022, art. 22, VI);</w:t>
      </w:r>
    </w:p>
    <w:p>
      <w:pPr>
        <w:pStyle w:val="Nivel3"/>
        <w:numPr>
          <w:ilvl w:val="2"/>
          <w:numId w:val="178"/>
        </w:numPr>
        <w:ind w:left="284" w:hanging="0"/>
        <w:rPr/>
      </w:pPr>
      <w:r>
        <w:rPr>
          <w:rFonts w:ascii="Calibri" w:hAnsi="Calibri"/>
          <w:sz w:val="21"/>
          <w:szCs w:val="21"/>
        </w:rPr>
        <w:t>O fiscal técnico do contrato anotará no histórico de gerenciamento do contrato todas as ocorrências relacionadas à execução do contrato, com a descrição do que for necessário para a regularização das faltas ou dos defeitos observados. (</w:t>
      </w:r>
      <w:r>
        <w:fldChar w:fldCharType="begin"/>
      </w:r>
      <w:r>
        <w:rPr>
          <w:rStyle w:val="LinkdaInternet"/>
          <w:sz w:val="21"/>
          <w:szCs w:val="21"/>
          <w:rFonts w:ascii="Calibri" w:hAnsi="Calibri"/>
        </w:rPr>
        <w:instrText> HYPERLINK "http://www.planalto.gov.br/ccivil_03/_ato2019-2022/2021/lei/L14133.htm" \l "art117§1"</w:instrText>
      </w:r>
      <w:r>
        <w:rPr>
          <w:rStyle w:val="LinkdaInternet"/>
          <w:sz w:val="21"/>
          <w:szCs w:val="21"/>
          <w:rFonts w:ascii="Calibri" w:hAnsi="Calibri"/>
        </w:rPr>
        <w:fldChar w:fldCharType="separate"/>
      </w:r>
      <w:r>
        <w:rPr>
          <w:rStyle w:val="LinkdaInternet"/>
          <w:rFonts w:ascii="Calibri" w:hAnsi="Calibri"/>
          <w:sz w:val="21"/>
          <w:szCs w:val="21"/>
        </w:rPr>
        <w:t>Lei nº 14.133, de 2021, art. 117, §1º</w:t>
      </w:r>
      <w:r>
        <w:rPr>
          <w:rStyle w:val="LinkdaInternet"/>
          <w:sz w:val="21"/>
          <w:szCs w:val="21"/>
          <w:rFonts w:ascii="Calibri" w:hAnsi="Calibri"/>
        </w:rPr>
        <w:fldChar w:fldCharType="end"/>
      </w:r>
      <w:r>
        <w:rPr>
          <w:rFonts w:ascii="Calibri" w:hAnsi="Calibri"/>
          <w:sz w:val="21"/>
          <w:szCs w:val="21"/>
        </w:rPr>
        <w:t xml:space="preserve">, e </w:t>
      </w:r>
      <w:r>
        <w:fldChar w:fldCharType="begin"/>
      </w:r>
      <w:r>
        <w:rPr>
          <w:rStyle w:val="LinkdaInternet"/>
          <w:sz w:val="21"/>
          <w:szCs w:val="21"/>
          <w:rFonts w:ascii="Calibri" w:hAnsi="Calibri"/>
        </w:rPr>
        <w:instrText> HYPERLINK "https://www.planalto.gov.br/ccivil_03/_ato2019-2022/2022/Decreto/D11246.htm" \l "art22"</w:instrText>
      </w:r>
      <w:r>
        <w:rPr>
          <w:rStyle w:val="LinkdaInternet"/>
          <w:sz w:val="21"/>
          <w:szCs w:val="21"/>
          <w:rFonts w:ascii="Calibri" w:hAnsi="Calibri"/>
        </w:rPr>
        <w:fldChar w:fldCharType="separate"/>
      </w:r>
      <w:r>
        <w:rPr>
          <w:rStyle w:val="LinkdaInternet"/>
          <w:rFonts w:ascii="Calibri" w:hAnsi="Calibri"/>
          <w:sz w:val="21"/>
          <w:szCs w:val="21"/>
        </w:rPr>
        <w:t>Decreto nº 11.246, de 2022, art. 22, II);</w:t>
      </w:r>
      <w:r>
        <w:rPr>
          <w:rStyle w:val="LinkdaInternet"/>
          <w:sz w:val="21"/>
          <w:szCs w:val="21"/>
          <w:rFonts w:ascii="Calibri" w:hAnsi="Calibri"/>
        </w:rPr>
        <w:fldChar w:fldCharType="end"/>
      </w:r>
      <w:commentRangeEnd w:id="19"/>
      <w:r>
        <w:commentReference w:id="19"/>
      </w:r>
      <w:r>
        <w:rPr>
          <w:rStyle w:val="LinkdaInternet"/>
          <w:rFonts w:ascii="Calibri" w:hAnsi="Calibri"/>
          <w:sz w:val="21"/>
          <w:szCs w:val="21"/>
        </w:rPr>
      </w:r>
    </w:p>
    <w:p>
      <w:pPr>
        <w:pStyle w:val="Nivel3"/>
        <w:numPr>
          <w:ilvl w:val="2"/>
          <w:numId w:val="179"/>
        </w:numPr>
        <w:ind w:left="284" w:hanging="0"/>
        <w:rPr/>
      </w:pPr>
      <w:r>
        <w:rPr>
          <w:rFonts w:ascii="Calibri" w:hAnsi="Calibri"/>
          <w:sz w:val="21"/>
          <w:szCs w:val="21"/>
        </w:rPr>
        <w:t>Identificada qualquer inexatidão ou irregularidade, o fiscal técnico do contrato emitirá notificações para a correção da execução do contrato, determinando prazo para a correção. (</w:t>
      </w:r>
      <w:r>
        <w:fldChar w:fldCharType="begin"/>
      </w:r>
      <w:r>
        <w:rPr>
          <w:rStyle w:val="LinkdaInternet"/>
          <w:sz w:val="21"/>
          <w:szCs w:val="21"/>
          <w:rFonts w:ascii="Calibri" w:hAnsi="Calibri"/>
        </w:rPr>
        <w:instrText> HYPERLINK "https://www.planalto.gov.br/ccivil_03/_ato2019-2022/2022/Decreto/D11246.htm" \l "art22"</w:instrText>
      </w:r>
      <w:r>
        <w:rPr>
          <w:rStyle w:val="LinkdaInternet"/>
          <w:sz w:val="21"/>
          <w:szCs w:val="21"/>
          <w:rFonts w:ascii="Calibri" w:hAnsi="Calibri"/>
        </w:rPr>
        <w:fldChar w:fldCharType="separate"/>
      </w:r>
      <w:r>
        <w:rPr>
          <w:rStyle w:val="LinkdaInternet"/>
          <w:rFonts w:ascii="Calibri" w:hAnsi="Calibri"/>
          <w:sz w:val="21"/>
          <w:szCs w:val="21"/>
        </w:rPr>
        <w:t>Decreto nº 11.246, de 2022, art. 22, III</w:t>
      </w:r>
      <w:r>
        <w:rPr>
          <w:rStyle w:val="LinkdaInternet"/>
          <w:sz w:val="21"/>
          <w:szCs w:val="21"/>
          <w:rFonts w:ascii="Calibri" w:hAnsi="Calibri"/>
        </w:rPr>
        <w:fldChar w:fldCharType="end"/>
      </w:r>
      <w:r>
        <w:rPr>
          <w:rFonts w:ascii="Calibri" w:hAnsi="Calibri"/>
          <w:sz w:val="21"/>
          <w:szCs w:val="21"/>
        </w:rPr>
        <w:t xml:space="preserve">); </w:t>
      </w:r>
    </w:p>
    <w:p>
      <w:pPr>
        <w:pStyle w:val="Nivel3"/>
        <w:numPr>
          <w:ilvl w:val="2"/>
          <w:numId w:val="180"/>
        </w:numPr>
        <w:ind w:left="284" w:hanging="0"/>
        <w:rPr/>
      </w:pPr>
      <w:r>
        <w:rPr>
          <w:rFonts w:ascii="Calibri" w:hAnsi="Calibri"/>
          <w:sz w:val="21"/>
          <w:szCs w:val="21"/>
        </w:rPr>
        <w:t>O fiscal técnico do contrato informará ao gestor do contato, em tempo hábil, a situação que demandar decisão ou adoção de medidas que ultrapassem sua competência, para que adote as medidas necessárias e saneadoras, se for o caso. (</w:t>
      </w:r>
      <w:r>
        <w:fldChar w:fldCharType="begin"/>
      </w:r>
      <w:r>
        <w:rPr>
          <w:rStyle w:val="LinkdaInternet"/>
          <w:sz w:val="21"/>
          <w:szCs w:val="21"/>
          <w:rFonts w:ascii="Calibri" w:hAnsi="Calibri"/>
        </w:rPr>
        <w:instrText> HYPERLINK "https://www.planalto.gov.br/ccivil_03/_ato2019-2022/2022/Decreto/D11246.htm" \l "art22"</w:instrText>
      </w:r>
      <w:r>
        <w:rPr>
          <w:rStyle w:val="LinkdaInternet"/>
          <w:sz w:val="21"/>
          <w:szCs w:val="21"/>
          <w:rFonts w:ascii="Calibri" w:hAnsi="Calibri"/>
        </w:rPr>
        <w:fldChar w:fldCharType="separate"/>
      </w:r>
      <w:r>
        <w:rPr>
          <w:rStyle w:val="LinkdaInternet"/>
          <w:rFonts w:ascii="Calibri" w:hAnsi="Calibri"/>
          <w:sz w:val="21"/>
          <w:szCs w:val="21"/>
        </w:rPr>
        <w:t>Decreto nº 11.246, de 2022, art. 22, IV</w:t>
      </w:r>
      <w:r>
        <w:rPr>
          <w:rStyle w:val="LinkdaInternet"/>
          <w:sz w:val="21"/>
          <w:szCs w:val="21"/>
          <w:rFonts w:ascii="Calibri" w:hAnsi="Calibri"/>
        </w:rPr>
        <w:fldChar w:fldCharType="end"/>
      </w:r>
      <w:r>
        <w:rPr>
          <w:rFonts w:ascii="Calibri" w:hAnsi="Calibri"/>
          <w:sz w:val="21"/>
          <w:szCs w:val="21"/>
        </w:rPr>
        <w:t>).</w:t>
      </w:r>
    </w:p>
    <w:p>
      <w:pPr>
        <w:pStyle w:val="Nivel3"/>
        <w:numPr>
          <w:ilvl w:val="2"/>
          <w:numId w:val="181"/>
        </w:numPr>
        <w:ind w:left="284" w:hanging="0"/>
        <w:rPr/>
      </w:pPr>
      <w:r>
        <w:rPr>
          <w:rFonts w:ascii="Calibri" w:hAnsi="Calibri"/>
          <w:sz w:val="21"/>
          <w:szCs w:val="21"/>
        </w:rPr>
        <w:t>No caso de ocorrências que possam inviabilizar a execução do contrato nas datas aprazadas, o fiscal técnico do contrato comunicará o fato imediatamente ao gestor do contrato. (</w:t>
      </w:r>
      <w:r>
        <w:fldChar w:fldCharType="begin"/>
      </w:r>
      <w:r>
        <w:rPr>
          <w:rStyle w:val="LinkdaInternet"/>
          <w:sz w:val="21"/>
          <w:szCs w:val="21"/>
          <w:rFonts w:ascii="Calibri" w:hAnsi="Calibri"/>
        </w:rPr>
        <w:instrText> HYPERLINK "https://www.planalto.gov.br/ccivil_03/_ato2019-2022/2022/Decreto/D11246.htm" \l "art22"</w:instrText>
      </w:r>
      <w:r>
        <w:rPr>
          <w:rStyle w:val="LinkdaInternet"/>
          <w:sz w:val="21"/>
          <w:szCs w:val="21"/>
          <w:rFonts w:ascii="Calibri" w:hAnsi="Calibri"/>
        </w:rPr>
        <w:fldChar w:fldCharType="separate"/>
      </w:r>
      <w:r>
        <w:rPr>
          <w:rStyle w:val="LinkdaInternet"/>
          <w:rFonts w:ascii="Calibri" w:hAnsi="Calibri"/>
          <w:sz w:val="21"/>
          <w:szCs w:val="21"/>
        </w:rPr>
        <w:t>Decreto nº 11.246, de 2022, art. 22, V</w:t>
      </w:r>
      <w:r>
        <w:rPr>
          <w:rStyle w:val="LinkdaInternet"/>
          <w:sz w:val="21"/>
          <w:szCs w:val="21"/>
          <w:rFonts w:ascii="Calibri" w:hAnsi="Calibri"/>
        </w:rPr>
        <w:fldChar w:fldCharType="end"/>
      </w:r>
      <w:r>
        <w:rPr>
          <w:rFonts w:ascii="Calibri" w:hAnsi="Calibri"/>
          <w:sz w:val="21"/>
          <w:szCs w:val="21"/>
        </w:rPr>
        <w:t>).</w:t>
      </w:r>
    </w:p>
    <w:p>
      <w:pPr>
        <w:pStyle w:val="Nivel3"/>
        <w:numPr>
          <w:ilvl w:val="2"/>
          <w:numId w:val="182"/>
        </w:numPr>
        <w:ind w:left="284" w:hanging="0"/>
        <w:rPr/>
      </w:pPr>
      <w:r>
        <w:rPr>
          <w:rFonts w:ascii="Calibri" w:hAnsi="Calibri"/>
          <w:sz w:val="21"/>
          <w:szCs w:val="21"/>
        </w:rPr>
        <w:t xml:space="preserve">O fiscal técnico do contrato comunicará ao gestor do contrato, em tempo hábil, o término do contrato sob sua responsabilidade, com vistas à renovação tempestiva ou à prorrogação contratual </w:t>
      </w:r>
      <w:r>
        <w:fldChar w:fldCharType="begin"/>
      </w:r>
      <w:r>
        <w:rPr>
          <w:rStyle w:val="LinkdaInternet"/>
          <w:sz w:val="21"/>
          <w:szCs w:val="21"/>
          <w:rFonts w:ascii="Calibri" w:hAnsi="Calibri"/>
        </w:rPr>
        <w:instrText> HYPERLINK "https://www.planalto.gov.br/ccivil_03/_ato2019-2022/2022/Decreto/D11246.htm" \l "art22"</w:instrText>
      </w:r>
      <w:r>
        <w:rPr>
          <w:rStyle w:val="LinkdaInternet"/>
          <w:sz w:val="21"/>
          <w:szCs w:val="21"/>
          <w:rFonts w:ascii="Calibri" w:hAnsi="Calibri"/>
        </w:rPr>
        <w:fldChar w:fldCharType="separate"/>
      </w:r>
      <w:r>
        <w:rPr>
          <w:rStyle w:val="LinkdaInternet"/>
          <w:rFonts w:ascii="Calibri" w:hAnsi="Calibri"/>
          <w:sz w:val="21"/>
          <w:szCs w:val="21"/>
        </w:rPr>
        <w:t>(Decreto nº 11.246, de 2022, art. 22, VII</w:t>
      </w:r>
      <w:r>
        <w:rPr>
          <w:rStyle w:val="LinkdaInternet"/>
          <w:sz w:val="21"/>
          <w:szCs w:val="21"/>
          <w:rFonts w:ascii="Calibri" w:hAnsi="Calibri"/>
        </w:rPr>
        <w:fldChar w:fldCharType="end"/>
      </w:r>
      <w:r>
        <w:rPr>
          <w:rFonts w:ascii="Calibri" w:hAnsi="Calibri"/>
          <w:sz w:val="21"/>
          <w:szCs w:val="21"/>
        </w:rPr>
        <w:t>).</w:t>
      </w:r>
    </w:p>
    <w:p>
      <w:pPr>
        <w:pStyle w:val="Nivel3"/>
        <w:numPr>
          <w:ilvl w:val="0"/>
          <w:numId w:val="0"/>
        </w:numPr>
        <w:ind w:left="0" w:hanging="0"/>
        <w:rPr>
          <w:rFonts w:ascii="Calibri" w:hAnsi="Calibri"/>
          <w:sz w:val="21"/>
          <w:szCs w:val="21"/>
        </w:rPr>
      </w:pPr>
      <w:r>
        <w:rPr>
          <w:rFonts w:ascii="Calibri" w:hAnsi="Calibri"/>
          <w:sz w:val="21"/>
          <w:szCs w:val="21"/>
        </w:rPr>
        <w:t>Fiscalização Administrativa</w:t>
      </w:r>
    </w:p>
    <w:p>
      <w:pPr>
        <w:pStyle w:val="Nivel2"/>
        <w:numPr>
          <w:ilvl w:val="1"/>
          <w:numId w:val="183"/>
        </w:numPr>
        <w:ind w:left="0" w:hanging="0"/>
        <w:rPr/>
      </w:pPr>
      <w:r>
        <w:rPr>
          <w:rFonts w:ascii="Calibri" w:hAnsi="Calibri"/>
          <w:sz w:val="21"/>
          <w:szCs w:val="21"/>
        </w:rPr>
        <w:t>O fiscal administrativo do contrato verificará a manutenção das condições de habilitação da contratada, acompanhará o empenho, o pagamento, as garantias, as glosas e a formalização de apostilamento e termos aditivos, solicitando quaisquer documentos comprobatórios pertinentes, caso necessário (</w:t>
      </w:r>
      <w:r>
        <w:fldChar w:fldCharType="begin"/>
      </w:r>
      <w:r>
        <w:rPr>
          <w:rStyle w:val="LinkdaInternet"/>
          <w:sz w:val="21"/>
          <w:szCs w:val="21"/>
          <w:rFonts w:ascii="Calibri" w:hAnsi="Calibri"/>
        </w:rPr>
        <w:instrText> HYPERLINK "https://www.planalto.gov.br/ccivil_03/_ato2019-2022/2022/Decreto/D11246.htm" \l "art23"</w:instrText>
      </w:r>
      <w:r>
        <w:rPr>
          <w:rStyle w:val="LinkdaInternet"/>
          <w:sz w:val="21"/>
          <w:szCs w:val="21"/>
          <w:rFonts w:ascii="Calibri" w:hAnsi="Calibri"/>
        </w:rPr>
        <w:fldChar w:fldCharType="separate"/>
      </w:r>
      <w:r>
        <w:rPr>
          <w:rStyle w:val="LinkdaInternet"/>
          <w:rFonts w:ascii="Calibri" w:hAnsi="Calibri"/>
          <w:sz w:val="21"/>
          <w:szCs w:val="21"/>
        </w:rPr>
        <w:t>Art. 23, I e II, do Decreto nº 11.246, de 2022</w:t>
      </w:r>
      <w:r>
        <w:rPr>
          <w:rStyle w:val="LinkdaInternet"/>
          <w:sz w:val="21"/>
          <w:szCs w:val="21"/>
          <w:rFonts w:ascii="Calibri" w:hAnsi="Calibri"/>
        </w:rPr>
        <w:fldChar w:fldCharType="end"/>
      </w:r>
      <w:r>
        <w:rPr>
          <w:rFonts w:ascii="Calibri" w:hAnsi="Calibri"/>
          <w:sz w:val="21"/>
          <w:szCs w:val="21"/>
        </w:rPr>
        <w:t>).</w:t>
      </w:r>
    </w:p>
    <w:p>
      <w:pPr>
        <w:pStyle w:val="Nivel3"/>
        <w:numPr>
          <w:ilvl w:val="2"/>
          <w:numId w:val="184"/>
        </w:numPr>
        <w:ind w:left="284" w:hanging="0"/>
        <w:rPr/>
      </w:pPr>
      <w:r>
        <w:rPr>
          <w:rFonts w:ascii="Calibri" w:hAnsi="Calibri"/>
          <w:sz w:val="21"/>
          <w:szCs w:val="21"/>
        </w:rPr>
        <w:t>Caso ocorra descumprimento das obrigações contratuais, o fiscal administrativo do contrato atuará tempestivamente na solução do problema, reportando ao gestor do contrato para que tome as providências cabíveis, quando ultrapassar a sua competência; (</w:t>
      </w:r>
      <w:r>
        <w:fldChar w:fldCharType="begin"/>
      </w:r>
      <w:r>
        <w:rPr>
          <w:rStyle w:val="LinkdaInternet"/>
          <w:sz w:val="21"/>
          <w:szCs w:val="21"/>
          <w:rFonts w:ascii="Calibri" w:hAnsi="Calibri"/>
        </w:rPr>
        <w:instrText> HYPERLINK "https://www.planalto.gov.br/ccivil_03/_ato2019-2022/2022/Decreto/D11246.htm" \l "art23"</w:instrText>
      </w:r>
      <w:r>
        <w:rPr>
          <w:rStyle w:val="LinkdaInternet"/>
          <w:sz w:val="21"/>
          <w:szCs w:val="21"/>
          <w:rFonts w:ascii="Calibri" w:hAnsi="Calibri"/>
        </w:rPr>
        <w:fldChar w:fldCharType="separate"/>
      </w:r>
      <w:r>
        <w:rPr>
          <w:rStyle w:val="LinkdaInternet"/>
          <w:rFonts w:ascii="Calibri" w:hAnsi="Calibri"/>
          <w:sz w:val="21"/>
          <w:szCs w:val="21"/>
        </w:rPr>
        <w:t>Decreto nº 11.246, de 2022, art. 23, IV</w:t>
      </w:r>
      <w:r>
        <w:rPr>
          <w:rStyle w:val="LinkdaInternet"/>
          <w:sz w:val="21"/>
          <w:szCs w:val="21"/>
          <w:rFonts w:ascii="Calibri" w:hAnsi="Calibri"/>
        </w:rPr>
        <w:fldChar w:fldCharType="end"/>
      </w:r>
      <w:r>
        <w:rPr>
          <w:rFonts w:ascii="Calibri" w:hAnsi="Calibri"/>
          <w:sz w:val="21"/>
          <w:szCs w:val="21"/>
        </w:rPr>
        <w:t>).</w:t>
      </w:r>
    </w:p>
    <w:p>
      <w:pPr>
        <w:pStyle w:val="Nvel3R"/>
        <w:numPr>
          <w:ilvl w:val="0"/>
          <w:numId w:val="0"/>
        </w:numPr>
        <w:ind w:left="2065" w:hanging="0"/>
        <w:rPr>
          <w:rFonts w:ascii="Calibri" w:hAnsi="Calibri"/>
          <w:sz w:val="21"/>
          <w:szCs w:val="21"/>
        </w:rPr>
      </w:pPr>
      <w:r>
        <w:rPr/>
        <w:commentReference w:id="20"/>
      </w:r>
    </w:p>
    <w:p>
      <w:pPr>
        <w:pStyle w:val="Nvel1SemNumPreto"/>
        <w:rPr>
          <w:rFonts w:ascii="Calibri" w:hAnsi="Calibri"/>
          <w:sz w:val="21"/>
          <w:szCs w:val="21"/>
        </w:rPr>
      </w:pPr>
      <w:r>
        <w:rPr>
          <w:rFonts w:ascii="Calibri" w:hAnsi="Calibri"/>
          <w:sz w:val="21"/>
          <w:szCs w:val="21"/>
        </w:rPr>
        <w:t>Gestor do Contrato</w:t>
      </w:r>
    </w:p>
    <w:p>
      <w:pPr>
        <w:pStyle w:val="Nivel2"/>
        <w:numPr>
          <w:ilvl w:val="1"/>
          <w:numId w:val="185"/>
        </w:numPr>
        <w:ind w:left="0" w:hanging="0"/>
        <w:rPr>
          <w:rFonts w:ascii="Calibri" w:hAnsi="Calibri"/>
          <w:sz w:val="21"/>
          <w:szCs w:val="21"/>
        </w:rPr>
      </w:pPr>
      <w:r>
        <w:rPr>
          <w:rFonts w:ascii="Calibri" w:hAnsi="Calibri"/>
          <w:sz w:val="21"/>
          <w:szCs w:val="21"/>
        </w:rPr>
        <w:t>O gestor do contrato coordenará a atualização do processo de acompanhamento e fiscalização do contrato contendo todos os registros formais da execução no histórico de gerenciamento do contrato, a exemplo da ordem de serviço, do registro de ocorrências, das alterações e das prorrogações contratuais, elaborando relatório com vistas à verificação da necessidade de adequações do contrato para fins de atendimento da finalidade da administração. (Decreto nº 11.246, de 2022, art. 21, IV).</w:t>
      </w:r>
    </w:p>
    <w:p>
      <w:pPr>
        <w:pStyle w:val="Nivel2"/>
        <w:numPr>
          <w:ilvl w:val="1"/>
          <w:numId w:val="186"/>
        </w:numPr>
        <w:ind w:left="0" w:hanging="0"/>
        <w:rPr>
          <w:rFonts w:ascii="Calibri" w:hAnsi="Calibri"/>
          <w:sz w:val="21"/>
          <w:szCs w:val="21"/>
        </w:rPr>
      </w:pPr>
      <w:r>
        <w:rPr>
          <w:rFonts w:ascii="Calibri" w:hAnsi="Calibri"/>
          <w:sz w:val="21"/>
          <w:szCs w:val="21"/>
        </w:rPr>
        <w:t xml:space="preserve">O gestor do contrato acompanhará os registros realizados pelos fiscais do contrato, de todas as ocorrências relacionadas à execução do contrato e as medidas adotadas, informando, se for o caso, à autoridade superior àquelas que ultrapassarem a sua competência. (Decreto nº 11.246, de 2022, art. 21, II). </w:t>
      </w:r>
    </w:p>
    <w:p>
      <w:pPr>
        <w:pStyle w:val="Nivel2"/>
        <w:numPr>
          <w:ilvl w:val="1"/>
          <w:numId w:val="187"/>
        </w:numPr>
        <w:ind w:left="0" w:hanging="0"/>
        <w:rPr>
          <w:rFonts w:ascii="Calibri" w:hAnsi="Calibri"/>
          <w:sz w:val="21"/>
          <w:szCs w:val="21"/>
        </w:rPr>
      </w:pPr>
      <w:r>
        <w:rPr>
          <w:rFonts w:ascii="Calibri" w:hAnsi="Calibri"/>
          <w:sz w:val="21"/>
          <w:szCs w:val="21"/>
        </w:rPr>
        <w:t xml:space="preserve">O gestor do contrato acompanhará a manutenção das condições de habilitação da contratada, para fins de empenho de despesa e pagamento, e anotará os problemas que obstem o fluxo normal da liquidação e do pagamento da despesa no relatório de riscos eventuais. (Decreto nº 11.246, de 2022, art. 21, III). </w:t>
      </w:r>
    </w:p>
    <w:p>
      <w:pPr>
        <w:pStyle w:val="Nivel2"/>
        <w:numPr>
          <w:ilvl w:val="1"/>
          <w:numId w:val="188"/>
        </w:numPr>
        <w:ind w:left="0" w:hanging="0"/>
        <w:rPr>
          <w:rFonts w:ascii="Calibri" w:hAnsi="Calibri"/>
          <w:sz w:val="21"/>
          <w:szCs w:val="21"/>
        </w:rPr>
      </w:pPr>
      <w:r>
        <w:rPr>
          <w:rFonts w:ascii="Calibri" w:hAnsi="Calibri"/>
          <w:sz w:val="21"/>
          <w:szCs w:val="21"/>
        </w:rPr>
        <w:t xml:space="preserve">O gestor do contrato emitirá documento comprobatório da avaliação realizada pelos fiscais técnico, administrativo e setorial quanto ao cumprimento de obrigações assumidas pelo contratado, com menção ao seu desempenho na execução contratual, baseado nos indicadores objetivamente definidos e aferidos, e a eventuais penalidades aplicadas, devendo constar do cadastro de atesto de cumprimento de obrigações. (Decreto nº 11.246, de 2022, art. 21, VIII). </w:t>
      </w:r>
    </w:p>
    <w:p>
      <w:pPr>
        <w:pStyle w:val="Nivel2"/>
        <w:numPr>
          <w:ilvl w:val="1"/>
          <w:numId w:val="189"/>
        </w:numPr>
        <w:ind w:left="0" w:hanging="0"/>
        <w:rPr>
          <w:rFonts w:ascii="Calibri" w:hAnsi="Calibri"/>
          <w:sz w:val="21"/>
          <w:szCs w:val="21"/>
        </w:rPr>
      </w:pPr>
      <w:r>
        <w:rPr>
          <w:rFonts w:ascii="Calibri" w:hAnsi="Calibri"/>
          <w:sz w:val="21"/>
          <w:szCs w:val="21"/>
        </w:rPr>
        <w:t xml:space="preserve">O gestor do contrato tomará providências para a formalização de processo administrativo de responsabilização para fins de aplicação de sanções, a ser conduzido pela comissão de que trata o art. 158 da Lei nº 14.133, de 2021, ou pelo agente ou pelo setor com competência para tal, conforme o caso. (Decreto nº 11.246, de 2022, art. 21, X). </w:t>
      </w:r>
    </w:p>
    <w:p>
      <w:pPr>
        <w:pStyle w:val="Nivel2"/>
        <w:numPr>
          <w:ilvl w:val="1"/>
          <w:numId w:val="190"/>
        </w:numPr>
        <w:ind w:left="0" w:hanging="0"/>
        <w:rPr>
          <w:rFonts w:ascii="Calibri" w:hAnsi="Calibri"/>
          <w:sz w:val="21"/>
          <w:szCs w:val="21"/>
        </w:rPr>
      </w:pPr>
      <w:r>
        <w:rPr>
          <w:rFonts w:ascii="Calibri" w:hAnsi="Calibri"/>
          <w:sz w:val="21"/>
          <w:szCs w:val="21"/>
        </w:rPr>
        <w:t xml:space="preserve">O gestor do contrato deverá elaborar relatório final com informações sobre a consecução dos objetivos que tenham justificado a contratação e eventuais condutas a serem adotadas para o aprimoramento das atividades da Administração. (Decreto nº 11.246, de 2022, art. 21, VI). </w:t>
      </w:r>
    </w:p>
    <w:p>
      <w:pPr>
        <w:pStyle w:val="Nivel2"/>
        <w:numPr>
          <w:ilvl w:val="1"/>
          <w:numId w:val="191"/>
        </w:numPr>
        <w:ind w:left="0" w:hanging="0"/>
        <w:rPr>
          <w:rFonts w:ascii="Calibri" w:hAnsi="Calibri"/>
          <w:sz w:val="21"/>
          <w:szCs w:val="21"/>
        </w:rPr>
      </w:pPr>
      <w:r>
        <w:rPr>
          <w:rFonts w:ascii="Calibri" w:hAnsi="Calibri"/>
          <w:sz w:val="21"/>
          <w:szCs w:val="21"/>
        </w:rPr>
        <w:t>O gestor do contrato deverá enviar a documentação pertinente ao setor de contratos para a formalização dos procedimentos de liquidação e pagamento, no valor dimensionado pela fiscalização e gestão nos termos do contrato.</w:t>
      </w:r>
    </w:p>
    <w:p>
      <w:pPr>
        <w:pStyle w:val="Nivel01"/>
        <w:numPr>
          <w:ilvl w:val="0"/>
          <w:numId w:val="4"/>
        </w:numPr>
        <w:ind w:left="0" w:hanging="0"/>
        <w:rPr>
          <w:rFonts w:ascii="Calibri" w:hAnsi="Calibri"/>
          <w:sz w:val="21"/>
          <w:szCs w:val="21"/>
        </w:rPr>
      </w:pPr>
      <w:r>
        <w:rPr>
          <w:rFonts w:ascii="Calibri" w:hAnsi="Calibri"/>
          <w:sz w:val="21"/>
          <w:szCs w:val="21"/>
        </w:rPr>
        <w:t>CRITÉRIOS DE MEDIÇÃO E DE PAGAMENTO</w:t>
      </w:r>
    </w:p>
    <w:p>
      <w:pPr>
        <w:pStyle w:val="Nvel1SemNumPreto"/>
        <w:rPr>
          <w:rFonts w:ascii="Calibri" w:hAnsi="Calibri"/>
          <w:sz w:val="21"/>
          <w:szCs w:val="21"/>
        </w:rPr>
      </w:pPr>
      <w:r>
        <w:rPr>
          <w:rFonts w:ascii="Calibri" w:hAnsi="Calibri"/>
          <w:sz w:val="21"/>
          <w:szCs w:val="21"/>
        </w:rPr>
        <w:t>Recebimento</w:t>
      </w:r>
    </w:p>
    <w:p>
      <w:pPr>
        <w:pStyle w:val="Nivel2"/>
        <w:numPr>
          <w:ilvl w:val="1"/>
          <w:numId w:val="192"/>
        </w:numPr>
        <w:ind w:left="0" w:hanging="0"/>
        <w:rPr>
          <w:rFonts w:ascii="Calibri" w:hAnsi="Calibri"/>
          <w:sz w:val="21"/>
          <w:szCs w:val="21"/>
        </w:rPr>
      </w:pPr>
      <w:commentRangeStart w:id="21"/>
      <w:r>
        <w:rPr>
          <w:rFonts w:ascii="Calibri" w:hAnsi="Calibri"/>
          <w:sz w:val="21"/>
          <w:szCs w:val="21"/>
          <w:lang w:eastAsia="en-US"/>
        </w:rPr>
        <w:t>Os bens serão recebidos provisoriamente, de forma sumária</w:t>
      </w:r>
      <w:r>
        <w:rPr>
          <w:rFonts w:ascii="Calibri" w:hAnsi="Calibri"/>
          <w:sz w:val="21"/>
          <w:szCs w:val="21"/>
          <w:lang w:eastAsia="en-US"/>
        </w:rPr>
      </w:r>
      <w:commentRangeEnd w:id="21"/>
      <w:r>
        <w:commentReference w:id="21"/>
      </w:r>
      <w:r>
        <w:rPr>
          <w:rFonts w:ascii="Calibri" w:hAnsi="Calibri"/>
          <w:sz w:val="21"/>
          <w:szCs w:val="21"/>
          <w:lang w:eastAsia="en-US"/>
        </w:rPr>
        <w:t xml:space="preserve">, no ato da entrega, juntamente com a </w:t>
      </w:r>
      <w:r>
        <w:rPr>
          <w:rFonts w:eastAsia="Calibri" w:ascii="Calibri" w:hAnsi="Calibri"/>
          <w:sz w:val="21"/>
          <w:szCs w:val="21"/>
          <w:lang w:eastAsia="en-US"/>
        </w:rPr>
        <w:t>nota</w:t>
      </w:r>
      <w:r>
        <w:rPr>
          <w:rFonts w:ascii="Calibri" w:hAnsi="Calibri"/>
          <w:sz w:val="21"/>
          <w:szCs w:val="21"/>
          <w:lang w:eastAsia="en-US"/>
        </w:rPr>
        <w:t xml:space="preserve"> fiscal ou instrumento de cobrança equivalente, pelo(a) responsável pelo acompanhamento e fiscalização do contrato, para efeito de posterior verificação de sua conformidade com as especificações constantes no Termo de Referência</w:t>
      </w:r>
      <w:r>
        <w:rPr>
          <w:rFonts w:ascii="Calibri" w:hAnsi="Calibri"/>
          <w:color w:val="FF0000"/>
          <w:sz w:val="21"/>
          <w:szCs w:val="21"/>
          <w:lang w:eastAsia="en-US"/>
        </w:rPr>
        <w:t xml:space="preserve"> </w:t>
      </w:r>
      <w:r>
        <w:rPr>
          <w:rFonts w:ascii="Calibri" w:hAnsi="Calibri"/>
          <w:sz w:val="21"/>
          <w:szCs w:val="21"/>
          <w:lang w:eastAsia="en-US"/>
        </w:rPr>
        <w:t>e na proposta.</w:t>
      </w:r>
    </w:p>
    <w:p>
      <w:pPr>
        <w:pStyle w:val="Nivel2"/>
        <w:numPr>
          <w:ilvl w:val="1"/>
          <w:numId w:val="193"/>
        </w:numPr>
        <w:ind w:left="0" w:hanging="0"/>
        <w:rPr>
          <w:rFonts w:ascii="Calibri" w:hAnsi="Calibri"/>
          <w:sz w:val="21"/>
          <w:szCs w:val="21"/>
        </w:rPr>
      </w:pPr>
      <w:r>
        <w:rPr>
          <w:rFonts w:ascii="Calibri" w:hAnsi="Calibri"/>
          <w:sz w:val="21"/>
          <w:szCs w:val="21"/>
          <w:lang w:eastAsia="en-US"/>
        </w:rPr>
        <w:t>Os bens poderão ser rejeitados, no todo ou em parte, inclusive antes do recebimento provisório, quando em desacordo com as especificações constantes no Termo de Referência</w:t>
      </w:r>
      <w:r>
        <w:rPr>
          <w:rFonts w:ascii="Calibri" w:hAnsi="Calibri"/>
          <w:color w:val="FF0000"/>
          <w:sz w:val="21"/>
          <w:szCs w:val="21"/>
          <w:lang w:eastAsia="en-US"/>
        </w:rPr>
        <w:t xml:space="preserve"> </w:t>
      </w:r>
      <w:r>
        <w:rPr>
          <w:rFonts w:ascii="Calibri" w:hAnsi="Calibri"/>
          <w:sz w:val="21"/>
          <w:szCs w:val="21"/>
          <w:lang w:eastAsia="en-US"/>
        </w:rPr>
        <w:t>e na proposta, devendo ser substituídos no prazo de 10 (dez)</w:t>
      </w:r>
      <w:r>
        <w:rPr>
          <w:rFonts w:ascii="Calibri" w:hAnsi="Calibri"/>
          <w:color w:val="FF0000"/>
          <w:sz w:val="21"/>
          <w:szCs w:val="21"/>
          <w:lang w:eastAsia="en-US"/>
        </w:rPr>
        <w:t xml:space="preserve"> </w:t>
      </w:r>
      <w:r>
        <w:rPr>
          <w:rFonts w:ascii="Calibri" w:hAnsi="Calibri"/>
          <w:sz w:val="21"/>
          <w:szCs w:val="21"/>
          <w:lang w:eastAsia="en-US"/>
        </w:rPr>
        <w:t>dias, a contar da notificação da contratada, às suas custas, sem prejuízo da aplicação das penalidades.</w:t>
      </w:r>
    </w:p>
    <w:p>
      <w:pPr>
        <w:pStyle w:val="Nivel2"/>
        <w:numPr>
          <w:ilvl w:val="1"/>
          <w:numId w:val="194"/>
        </w:numPr>
        <w:ind w:left="0" w:hanging="0"/>
        <w:rPr>
          <w:rFonts w:ascii="Calibri" w:hAnsi="Calibri"/>
          <w:sz w:val="21"/>
          <w:szCs w:val="21"/>
        </w:rPr>
      </w:pPr>
      <w:commentRangeStart w:id="22"/>
      <w:r>
        <w:rPr>
          <w:rFonts w:ascii="Calibri" w:hAnsi="Calibri"/>
          <w:sz w:val="21"/>
          <w:szCs w:val="21"/>
          <w:lang w:eastAsia="en-US"/>
        </w:rPr>
        <w:t>O recebimento definitivo ocorrerá no prazo de 10 (dez) dias úteis,</w:t>
      </w:r>
      <w:r>
        <w:rPr>
          <w:rFonts w:ascii="Calibri" w:hAnsi="Calibri"/>
          <w:color w:val="FF0000"/>
          <w:sz w:val="21"/>
          <w:szCs w:val="21"/>
          <w:lang w:eastAsia="en-US"/>
        </w:rPr>
        <w:t xml:space="preserve"> </w:t>
      </w:r>
      <w:r>
        <w:rPr>
          <w:rFonts w:ascii="Calibri" w:hAnsi="Calibri"/>
          <w:sz w:val="21"/>
          <w:szCs w:val="21"/>
          <w:lang w:eastAsia="en-US"/>
        </w:rPr>
        <w:t>a contar do recebimento da nota fiscal ou instrumento de cobrança equivalente pela Administração, após a verificação da qualidade e quantidade do material e consequente aceitação mediante termo detalhado.</w:t>
      </w:r>
      <w:commentRangeEnd w:id="22"/>
      <w:r>
        <w:commentReference w:id="22"/>
      </w:r>
      <w:r>
        <w:rPr>
          <w:rFonts w:ascii="Calibri" w:hAnsi="Calibri"/>
          <w:sz w:val="21"/>
          <w:szCs w:val="21"/>
          <w:lang w:eastAsia="en-US"/>
        </w:rPr>
      </w:r>
    </w:p>
    <w:p>
      <w:pPr>
        <w:pStyle w:val="Nivel2"/>
        <w:numPr>
          <w:ilvl w:val="1"/>
          <w:numId w:val="195"/>
        </w:numPr>
        <w:ind w:left="0" w:hanging="0"/>
        <w:rPr/>
      </w:pPr>
      <w:commentRangeStart w:id="23"/>
      <w:r>
        <w:rPr>
          <w:rFonts w:ascii="Calibri" w:hAnsi="Calibri"/>
          <w:sz w:val="21"/>
          <w:szCs w:val="21"/>
          <w:lang w:eastAsia="en-US"/>
        </w:rPr>
        <w:t xml:space="preserve">Para as contratações decorrentes de despesas cujos valores não ultrapassem o limite de que trata o </w:t>
      </w:r>
      <w:r>
        <w:fldChar w:fldCharType="begin"/>
      </w:r>
      <w:r>
        <w:rPr>
          <w:rStyle w:val="LinkdaInternet"/>
          <w:sz w:val="21"/>
          <w:szCs w:val="21"/>
          <w:rFonts w:ascii="Calibri" w:hAnsi="Calibri"/>
          <w:lang w:eastAsia="en-US"/>
        </w:rPr>
        <w:instrText> HYPERLINK "http://www.planalto.gov.br/ccivil_03/_ato2019-2022/2021/lei/L14133.htm" \l "art75"</w:instrText>
      </w:r>
      <w:r>
        <w:rPr>
          <w:rStyle w:val="LinkdaInternet"/>
          <w:sz w:val="21"/>
          <w:szCs w:val="21"/>
          <w:rFonts w:ascii="Calibri" w:hAnsi="Calibri"/>
          <w:lang w:eastAsia="en-US"/>
        </w:rPr>
        <w:fldChar w:fldCharType="separate"/>
      </w:r>
      <w:r>
        <w:rPr>
          <w:rStyle w:val="LinkdaInternet"/>
          <w:rFonts w:ascii="Calibri" w:hAnsi="Calibri"/>
          <w:sz w:val="21"/>
          <w:szCs w:val="21"/>
          <w:lang w:eastAsia="en-US"/>
        </w:rPr>
        <w:t>inciso II do art. 75 da Lei nº 14.133, de 2021</w:t>
      </w:r>
      <w:r>
        <w:rPr>
          <w:rStyle w:val="LinkdaInternet"/>
          <w:sz w:val="21"/>
          <w:szCs w:val="21"/>
          <w:rFonts w:ascii="Calibri" w:hAnsi="Calibri"/>
          <w:lang w:eastAsia="en-US"/>
        </w:rPr>
        <w:fldChar w:fldCharType="end"/>
      </w:r>
      <w:r>
        <w:rPr>
          <w:rFonts w:ascii="Calibri" w:hAnsi="Calibri"/>
          <w:sz w:val="21"/>
          <w:szCs w:val="21"/>
          <w:lang w:eastAsia="en-US"/>
        </w:rPr>
        <w:t>, o prazo máximo para o recebimento definitivo será de até 10 (dez)</w:t>
      </w:r>
      <w:r>
        <w:rPr>
          <w:rFonts w:ascii="Calibri" w:hAnsi="Calibri"/>
          <w:color w:val="FF0000"/>
          <w:sz w:val="21"/>
          <w:szCs w:val="21"/>
          <w:lang w:eastAsia="en-US"/>
        </w:rPr>
        <w:t xml:space="preserve"> </w:t>
      </w:r>
      <w:r>
        <w:rPr>
          <w:rFonts w:ascii="Calibri" w:hAnsi="Calibri"/>
          <w:sz w:val="21"/>
          <w:szCs w:val="21"/>
          <w:lang w:eastAsia="en-US"/>
        </w:rPr>
        <w:t>dias úteis.</w:t>
      </w:r>
      <w:commentRangeEnd w:id="23"/>
      <w:r>
        <w:commentReference w:id="23"/>
      </w:r>
      <w:r>
        <w:rPr>
          <w:rFonts w:ascii="Calibri" w:hAnsi="Calibri"/>
          <w:sz w:val="21"/>
          <w:szCs w:val="21"/>
          <w:lang w:eastAsia="en-US"/>
        </w:rPr>
      </w:r>
    </w:p>
    <w:p>
      <w:pPr>
        <w:pStyle w:val="Nivel2"/>
        <w:numPr>
          <w:ilvl w:val="1"/>
          <w:numId w:val="196"/>
        </w:numPr>
        <w:ind w:left="0" w:hanging="0"/>
        <w:rPr>
          <w:rFonts w:ascii="Calibri" w:hAnsi="Calibri"/>
          <w:sz w:val="21"/>
          <w:szCs w:val="21"/>
        </w:rPr>
      </w:pPr>
      <w:r>
        <w:rPr>
          <w:rFonts w:ascii="Calibri" w:hAnsi="Calibri"/>
          <w:sz w:val="21"/>
          <w:szCs w:val="21"/>
          <w:lang w:eastAsia="en-US"/>
        </w:rPr>
        <w:t xml:space="preserve">O prazo para recebimento definitivo poderá ser excepcionalmente prorrogado, </w:t>
      </w:r>
      <w:r>
        <w:rPr>
          <w:rFonts w:ascii="Calibri" w:hAnsi="Calibri"/>
          <w:color w:val="auto"/>
          <w:sz w:val="21"/>
          <w:szCs w:val="21"/>
          <w:lang w:eastAsia="en-US"/>
        </w:rPr>
        <w:t>de forma justificada, por igual período, quando houver necessidade de diligências para a aferição do ate</w:t>
      </w:r>
      <w:r>
        <w:rPr>
          <w:rFonts w:ascii="Calibri" w:hAnsi="Calibri"/>
          <w:sz w:val="21"/>
          <w:szCs w:val="21"/>
          <w:lang w:eastAsia="en-US"/>
        </w:rPr>
        <w:t>ndimento das exigências contratuais.</w:t>
      </w:r>
    </w:p>
    <w:p>
      <w:pPr>
        <w:pStyle w:val="Nivel2"/>
        <w:numPr>
          <w:ilvl w:val="1"/>
          <w:numId w:val="197"/>
        </w:numPr>
        <w:ind w:left="0" w:hanging="0"/>
        <w:rPr/>
      </w:pPr>
      <w:r>
        <w:rPr>
          <w:rFonts w:ascii="Calibri" w:hAnsi="Calibri"/>
          <w:sz w:val="21"/>
          <w:szCs w:val="21"/>
          <w:lang w:eastAsia="en-US"/>
        </w:rPr>
        <w:t xml:space="preserve">No caso de controvérsia sobre a execução do objeto, quanto à dimensão, qualidade e quantidade, deverá ser observado o teor do </w:t>
      </w:r>
      <w:r>
        <w:fldChar w:fldCharType="begin"/>
      </w:r>
      <w:r>
        <w:rPr>
          <w:rStyle w:val="LinkdaInternet"/>
          <w:sz w:val="21"/>
          <w:szCs w:val="21"/>
          <w:rFonts w:ascii="Calibri" w:hAnsi="Calibri"/>
          <w:lang w:eastAsia="en-US"/>
        </w:rPr>
        <w:instrText> HYPERLINK "http://www.planalto.gov.br/ccivil_03/_ato2019-2022/2021/lei/L14133.htm" \l "art143"</w:instrText>
      </w:r>
      <w:r>
        <w:rPr>
          <w:rStyle w:val="LinkdaInternet"/>
          <w:sz w:val="21"/>
          <w:szCs w:val="21"/>
          <w:rFonts w:ascii="Calibri" w:hAnsi="Calibri"/>
          <w:lang w:eastAsia="en-US"/>
        </w:rPr>
        <w:fldChar w:fldCharType="separate"/>
      </w:r>
      <w:r>
        <w:rPr>
          <w:rStyle w:val="LinkdaInternet"/>
          <w:rFonts w:ascii="Calibri" w:hAnsi="Calibri"/>
          <w:sz w:val="21"/>
          <w:szCs w:val="21"/>
          <w:lang w:eastAsia="en-US"/>
        </w:rPr>
        <w:t>art. 143 da Lei nº 14.133, de 2021</w:t>
      </w:r>
      <w:r>
        <w:rPr>
          <w:rStyle w:val="LinkdaInternet"/>
          <w:sz w:val="21"/>
          <w:szCs w:val="21"/>
          <w:rFonts w:ascii="Calibri" w:hAnsi="Calibri"/>
          <w:lang w:eastAsia="en-US"/>
        </w:rPr>
        <w:fldChar w:fldCharType="end"/>
      </w:r>
      <w:r>
        <w:rPr>
          <w:rFonts w:ascii="Calibri" w:hAnsi="Calibri"/>
          <w:sz w:val="21"/>
          <w:szCs w:val="21"/>
          <w:lang w:eastAsia="en-US"/>
        </w:rPr>
        <w:t>, comunicando-se à empresa para emissão de Nota Fiscal no que pertine à parcela incontroversa da execução do objeto, para efeito de liquidação e pagamento.</w:t>
      </w:r>
    </w:p>
    <w:p>
      <w:pPr>
        <w:pStyle w:val="Nivel2"/>
        <w:numPr>
          <w:ilvl w:val="1"/>
          <w:numId w:val="198"/>
        </w:numPr>
        <w:ind w:left="0" w:hanging="0"/>
        <w:rPr>
          <w:rFonts w:ascii="Calibri" w:hAnsi="Calibri"/>
          <w:sz w:val="21"/>
          <w:szCs w:val="21"/>
        </w:rPr>
      </w:pPr>
      <w:r>
        <w:rPr>
          <w:rFonts w:ascii="Calibri" w:hAnsi="Calibri"/>
          <w:sz w:val="21"/>
          <w:szCs w:val="21"/>
          <w:lang w:eastAsia="en-US"/>
        </w:rPr>
        <w:t>O prazo para a solução, pelo contratado, de inconsistências na execução do objeto ou de saneamento da nota fiscal ou de instrumento de cobrança equivalente, verificadas pela Administração durante a análise prévia à liquidação de despesa, não será computado para os fins do recebimento definitivo.</w:t>
      </w:r>
    </w:p>
    <w:p>
      <w:pPr>
        <w:pStyle w:val="Nivel2"/>
        <w:numPr>
          <w:ilvl w:val="1"/>
          <w:numId w:val="199"/>
        </w:numPr>
        <w:ind w:left="0" w:hanging="0"/>
        <w:rPr>
          <w:rFonts w:ascii="Calibri" w:hAnsi="Calibri"/>
          <w:sz w:val="21"/>
          <w:szCs w:val="21"/>
        </w:rPr>
      </w:pPr>
      <w:r>
        <w:rPr>
          <w:rFonts w:ascii="Calibri" w:hAnsi="Calibri"/>
          <w:sz w:val="21"/>
          <w:szCs w:val="21"/>
          <w:lang w:eastAsia="en-US"/>
        </w:rPr>
        <w:t>O recebimento provisório ou definitivo não excluirá a responsabilidade civil pela solidez e pela segurança dos bens nem a responsabilidade ético-profissional pela perfeita execução do contrato.</w:t>
      </w:r>
    </w:p>
    <w:p>
      <w:pPr>
        <w:pStyle w:val="Nvel1SemNumPreto"/>
        <w:rPr>
          <w:rFonts w:ascii="Calibri" w:hAnsi="Calibri"/>
          <w:sz w:val="21"/>
          <w:szCs w:val="21"/>
        </w:rPr>
      </w:pPr>
      <w:r>
        <w:rPr>
          <w:rFonts w:ascii="Calibri" w:hAnsi="Calibri"/>
          <w:sz w:val="21"/>
          <w:szCs w:val="21"/>
        </w:rPr>
        <w:t>Liquidação</w:t>
      </w:r>
    </w:p>
    <w:p>
      <w:pPr>
        <w:pStyle w:val="Nivel2"/>
        <w:numPr>
          <w:ilvl w:val="1"/>
          <w:numId w:val="200"/>
        </w:numPr>
        <w:ind w:left="0" w:hanging="0"/>
        <w:rPr/>
      </w:pPr>
      <w:r>
        <w:rPr>
          <w:rFonts w:ascii="Calibri" w:hAnsi="Calibri"/>
          <w:sz w:val="21"/>
          <w:szCs w:val="21"/>
          <w:lang w:eastAsia="en-US"/>
        </w:rPr>
        <w:t>Recebida a Nota Fiscal ou documento de cobrança equivalente, correrá o prazo de dez dias úteis para fins de liquidação, na forma desta seção, prorrogáveis por igual período, nos termos do art. 7º, §3</w:t>
      </w:r>
      <w:r>
        <w:rPr>
          <w:rStyle w:val="LinkdaInternet"/>
          <w:rFonts w:ascii="Calibri" w:hAnsi="Calibri"/>
          <w:sz w:val="21"/>
          <w:szCs w:val="21"/>
          <w:lang w:eastAsia="en-US"/>
        </w:rPr>
        <w:t>º da Instrução Normativa SEGES/ME nº 77/2022</w:t>
      </w:r>
      <w:r>
        <w:rPr>
          <w:rFonts w:ascii="Calibri" w:hAnsi="Calibri"/>
          <w:sz w:val="21"/>
          <w:szCs w:val="21"/>
          <w:lang w:eastAsia="en-US"/>
        </w:rPr>
        <w:t>.</w:t>
      </w:r>
    </w:p>
    <w:p>
      <w:pPr>
        <w:pStyle w:val="Nivel3"/>
        <w:numPr>
          <w:ilvl w:val="2"/>
          <w:numId w:val="201"/>
        </w:numPr>
        <w:ind w:left="284" w:hanging="0"/>
        <w:rPr/>
      </w:pPr>
      <w:r>
        <w:rPr>
          <w:rFonts w:ascii="Calibri" w:hAnsi="Calibri"/>
          <w:sz w:val="21"/>
          <w:szCs w:val="21"/>
        </w:rPr>
        <w:t xml:space="preserve">O prazo de que trata o item anterior será reduzido à metade, mantendo-se a possibilidade de prorrogação, no caso de contratações decorrentes de despesas cujos valores não ultrapassem o limite de que trata o </w:t>
      </w:r>
      <w:r>
        <w:fldChar w:fldCharType="begin"/>
      </w:r>
      <w:r>
        <w:rPr>
          <w:rStyle w:val="LinkdaInternet"/>
          <w:sz w:val="21"/>
          <w:szCs w:val="21"/>
          <w:rFonts w:ascii="Calibri" w:hAnsi="Calibri"/>
        </w:rPr>
        <w:instrText> HYPERLINK "http://www.planalto.gov.br/ccivil_03/_ato2019-2022/2021/lei/L14133.htm" \l "art75"</w:instrText>
      </w:r>
      <w:r>
        <w:rPr>
          <w:rStyle w:val="LinkdaInternet"/>
          <w:sz w:val="21"/>
          <w:szCs w:val="21"/>
          <w:rFonts w:ascii="Calibri" w:hAnsi="Calibri"/>
        </w:rPr>
        <w:fldChar w:fldCharType="separate"/>
      </w:r>
      <w:r>
        <w:rPr>
          <w:rStyle w:val="LinkdaInternet"/>
          <w:rFonts w:ascii="Calibri" w:hAnsi="Calibri"/>
          <w:sz w:val="21"/>
          <w:szCs w:val="21"/>
        </w:rPr>
        <w:t>inciso II do art. 75 da Lei nº 14.133, de 2021</w:t>
      </w:r>
      <w:r>
        <w:rPr>
          <w:rStyle w:val="LinkdaInternet"/>
          <w:sz w:val="21"/>
          <w:szCs w:val="21"/>
          <w:rFonts w:ascii="Calibri" w:hAnsi="Calibri"/>
        </w:rPr>
        <w:fldChar w:fldCharType="end"/>
      </w:r>
      <w:r>
        <w:rPr>
          <w:rFonts w:ascii="Calibri" w:hAnsi="Calibri"/>
          <w:sz w:val="21"/>
          <w:szCs w:val="21"/>
        </w:rPr>
        <w:t>.</w:t>
      </w:r>
    </w:p>
    <w:p>
      <w:pPr>
        <w:pStyle w:val="Nivel2"/>
        <w:numPr>
          <w:ilvl w:val="1"/>
          <w:numId w:val="202"/>
        </w:numPr>
        <w:ind w:left="0" w:hanging="0"/>
        <w:rPr>
          <w:rFonts w:ascii="Calibri" w:hAnsi="Calibri"/>
          <w:sz w:val="21"/>
          <w:szCs w:val="21"/>
        </w:rPr>
      </w:pPr>
      <w:r>
        <w:rPr>
          <w:rFonts w:ascii="Calibri" w:hAnsi="Calibri"/>
          <w:sz w:val="21"/>
          <w:szCs w:val="21"/>
          <w:lang w:eastAsia="en-US"/>
        </w:rPr>
        <w:t xml:space="preserve">Para fins de liquidação, o setor competente deverá verificar se a nota fiscal ou instrumento de cobrança equivalente apresentado expressa os elementos necessários e essenciais do documento, tais como: </w:t>
      </w:r>
    </w:p>
    <w:p>
      <w:pPr>
        <w:pStyle w:val="Nivel3"/>
        <w:numPr>
          <w:ilvl w:val="2"/>
          <w:numId w:val="203"/>
        </w:numPr>
        <w:ind w:left="284" w:hanging="0"/>
        <w:rPr>
          <w:rFonts w:ascii="Calibri" w:hAnsi="Calibri"/>
          <w:sz w:val="21"/>
          <w:szCs w:val="21"/>
        </w:rPr>
      </w:pPr>
      <w:r>
        <w:rPr>
          <w:rFonts w:ascii="Calibri" w:hAnsi="Calibri"/>
          <w:sz w:val="21"/>
          <w:szCs w:val="21"/>
          <w:lang w:eastAsia="en-US"/>
        </w:rPr>
        <w:t>o prazo de validade;</w:t>
      </w:r>
    </w:p>
    <w:p>
      <w:pPr>
        <w:pStyle w:val="Nivel3"/>
        <w:numPr>
          <w:ilvl w:val="2"/>
          <w:numId w:val="204"/>
        </w:numPr>
        <w:ind w:left="284" w:hanging="0"/>
        <w:rPr>
          <w:rFonts w:ascii="Calibri" w:hAnsi="Calibri"/>
          <w:sz w:val="21"/>
          <w:szCs w:val="21"/>
        </w:rPr>
      </w:pPr>
      <w:r>
        <w:rPr>
          <w:rFonts w:ascii="Calibri" w:hAnsi="Calibri"/>
          <w:sz w:val="21"/>
          <w:szCs w:val="21"/>
          <w:lang w:eastAsia="en-US"/>
        </w:rPr>
        <w:t xml:space="preserve">a data da emissão; </w:t>
      </w:r>
    </w:p>
    <w:p>
      <w:pPr>
        <w:pStyle w:val="Nivel3"/>
        <w:numPr>
          <w:ilvl w:val="2"/>
          <w:numId w:val="205"/>
        </w:numPr>
        <w:ind w:left="284" w:hanging="0"/>
        <w:rPr>
          <w:rFonts w:ascii="Calibri" w:hAnsi="Calibri"/>
          <w:sz w:val="21"/>
          <w:szCs w:val="21"/>
        </w:rPr>
      </w:pPr>
      <w:r>
        <w:rPr>
          <w:rFonts w:ascii="Calibri" w:hAnsi="Calibri"/>
          <w:sz w:val="21"/>
          <w:szCs w:val="21"/>
          <w:lang w:eastAsia="en-US"/>
        </w:rPr>
        <w:t xml:space="preserve">os dados do contrato e do órgão contratante; </w:t>
      </w:r>
    </w:p>
    <w:p>
      <w:pPr>
        <w:pStyle w:val="Nivel3"/>
        <w:numPr>
          <w:ilvl w:val="2"/>
          <w:numId w:val="206"/>
        </w:numPr>
        <w:ind w:left="284" w:hanging="0"/>
        <w:rPr>
          <w:rFonts w:ascii="Calibri" w:hAnsi="Calibri"/>
          <w:sz w:val="21"/>
          <w:szCs w:val="21"/>
        </w:rPr>
      </w:pPr>
      <w:r>
        <w:rPr>
          <w:rFonts w:ascii="Calibri" w:hAnsi="Calibri"/>
          <w:sz w:val="21"/>
          <w:szCs w:val="21"/>
          <w:lang w:eastAsia="en-US"/>
        </w:rPr>
        <w:t xml:space="preserve">o período respectivo de execução do contrato; </w:t>
      </w:r>
    </w:p>
    <w:p>
      <w:pPr>
        <w:pStyle w:val="Nivel3"/>
        <w:numPr>
          <w:ilvl w:val="2"/>
          <w:numId w:val="207"/>
        </w:numPr>
        <w:ind w:left="284" w:hanging="0"/>
        <w:rPr>
          <w:rFonts w:ascii="Calibri" w:hAnsi="Calibri"/>
          <w:sz w:val="21"/>
          <w:szCs w:val="21"/>
        </w:rPr>
      </w:pPr>
      <w:r>
        <w:rPr>
          <w:rFonts w:ascii="Calibri" w:hAnsi="Calibri"/>
          <w:sz w:val="21"/>
          <w:szCs w:val="21"/>
          <w:lang w:eastAsia="en-US"/>
        </w:rPr>
        <w:t xml:space="preserve">o valor a pagar; e </w:t>
      </w:r>
    </w:p>
    <w:p>
      <w:pPr>
        <w:pStyle w:val="Nivel3"/>
        <w:numPr>
          <w:ilvl w:val="2"/>
          <w:numId w:val="208"/>
        </w:numPr>
        <w:ind w:left="284" w:hanging="0"/>
        <w:rPr>
          <w:rFonts w:ascii="Calibri" w:hAnsi="Calibri"/>
          <w:sz w:val="21"/>
          <w:szCs w:val="21"/>
        </w:rPr>
      </w:pPr>
      <w:r>
        <w:rPr>
          <w:rFonts w:ascii="Calibri" w:hAnsi="Calibri"/>
          <w:sz w:val="21"/>
          <w:szCs w:val="21"/>
          <w:lang w:eastAsia="en-US"/>
        </w:rPr>
        <w:t>eventual destaque do valor de retenções tributárias cabíveis.</w:t>
      </w:r>
    </w:p>
    <w:p>
      <w:pPr>
        <w:pStyle w:val="Nivel2"/>
        <w:numPr>
          <w:ilvl w:val="1"/>
          <w:numId w:val="209"/>
        </w:numPr>
        <w:ind w:left="0" w:hanging="0"/>
        <w:rPr>
          <w:rFonts w:ascii="Calibri" w:hAnsi="Calibri"/>
          <w:sz w:val="21"/>
          <w:szCs w:val="21"/>
        </w:rPr>
      </w:pPr>
      <w:r>
        <w:rPr>
          <w:rFonts w:eastAsia="Calibri" w:ascii="Calibri" w:hAnsi="Calibri"/>
          <w:sz w:val="21"/>
          <w:szCs w:val="21"/>
          <w:lang w:eastAsia="en-US"/>
        </w:rPr>
        <w:t xml:space="preserve"> </w:t>
      </w:r>
      <w:r>
        <w:rPr>
          <w:rFonts w:eastAsia="Calibri" w:ascii="Calibri" w:hAnsi="Calibri"/>
          <w:sz w:val="21"/>
          <w:szCs w:val="21"/>
          <w:lang w:eastAsia="en-US"/>
        </w:rPr>
        <w:t xml:space="preserve">Havendo erro na apresentação da nota fiscal ou instrumento de cobrança equivalente, ou circunstância que impeça a </w:t>
      </w:r>
      <w:r>
        <w:rPr>
          <w:rFonts w:ascii="Calibri" w:hAnsi="Calibri"/>
          <w:sz w:val="21"/>
          <w:szCs w:val="21"/>
          <w:lang w:eastAsia="en-US"/>
        </w:rPr>
        <w:t>liquidação da despesa, esta ficará sobrestada até que o contratado providencie as medidas saneadoras, reiniciando-se o prazo após a comprovação da regularização da situação, sem ônus ao contratante;</w:t>
      </w:r>
    </w:p>
    <w:p>
      <w:pPr>
        <w:pStyle w:val="Nivel2"/>
        <w:numPr>
          <w:ilvl w:val="1"/>
          <w:numId w:val="210"/>
        </w:numPr>
        <w:ind w:left="0" w:hanging="0"/>
        <w:rPr/>
      </w:pPr>
      <w:r>
        <w:rPr>
          <w:rFonts w:ascii="Calibri" w:hAnsi="Calibri"/>
          <w:sz w:val="21"/>
          <w:szCs w:val="21"/>
          <w:lang w:eastAsia="en-US"/>
        </w:rPr>
        <w:t xml:space="preserve"> </w:t>
      </w:r>
      <w:r>
        <w:rPr>
          <w:rFonts w:ascii="Calibri" w:hAnsi="Calibri"/>
          <w:sz w:val="21"/>
          <w:szCs w:val="21"/>
          <w:lang w:eastAsia="en-US"/>
        </w:rPr>
        <w:t xml:space="preserve">A nota fiscal ou instrumento de cobrança equivalente deverá ser obrigatoriamente acompanhado da comprovação da regularidade fiscal, constatada por meio de consulta </w:t>
      </w:r>
      <w:r>
        <w:rPr>
          <w:rFonts w:ascii="Calibri" w:hAnsi="Calibri"/>
          <w:i/>
          <w:iCs/>
          <w:sz w:val="21"/>
          <w:szCs w:val="21"/>
          <w:lang w:eastAsia="en-US"/>
        </w:rPr>
        <w:t>on-line</w:t>
      </w:r>
      <w:r>
        <w:rPr>
          <w:rFonts w:ascii="Calibri" w:hAnsi="Calibri"/>
          <w:sz w:val="21"/>
          <w:szCs w:val="21"/>
          <w:lang w:eastAsia="en-US"/>
        </w:rPr>
        <w:t xml:space="preserve"> ao SICAF ou, na impossibilidade de acesso ao referido Sistema, mediante consulta aos sítios eletrônicos oficiais ou à documentação mencionada no </w:t>
      </w:r>
      <w:r>
        <w:fldChar w:fldCharType="begin"/>
      </w:r>
      <w:r>
        <w:rPr>
          <w:rStyle w:val="LinkdaInternet"/>
          <w:sz w:val="21"/>
          <w:szCs w:val="21"/>
          <w:rFonts w:ascii="Calibri" w:hAnsi="Calibri"/>
          <w:lang w:eastAsia="en-US"/>
        </w:rPr>
        <w:instrText> HYPERLINK "http://www.planalto.gov.br/ccivil_03/_ato2019-2022/2021/lei/L14133.htm" \l "art68"</w:instrText>
      </w:r>
      <w:r>
        <w:rPr>
          <w:rStyle w:val="LinkdaInternet"/>
          <w:sz w:val="21"/>
          <w:szCs w:val="21"/>
          <w:rFonts w:ascii="Calibri" w:hAnsi="Calibri"/>
          <w:lang w:eastAsia="en-US"/>
        </w:rPr>
        <w:fldChar w:fldCharType="separate"/>
      </w:r>
      <w:r>
        <w:rPr>
          <w:rStyle w:val="LinkdaInternet"/>
          <w:rFonts w:ascii="Calibri" w:hAnsi="Calibri"/>
          <w:sz w:val="21"/>
          <w:szCs w:val="21"/>
          <w:lang w:eastAsia="en-US"/>
        </w:rPr>
        <w:t xml:space="preserve">art. 68 da Lei nº 14.133, de 2021.  </w:t>
      </w:r>
      <w:r>
        <w:rPr>
          <w:rStyle w:val="LinkdaInternet"/>
          <w:sz w:val="21"/>
          <w:szCs w:val="21"/>
          <w:rFonts w:ascii="Calibri" w:hAnsi="Calibri"/>
          <w:lang w:eastAsia="en-US"/>
        </w:rPr>
        <w:fldChar w:fldCharType="end"/>
      </w:r>
      <w:r>
        <w:rPr>
          <w:rFonts w:ascii="Calibri" w:hAnsi="Calibri"/>
          <w:sz w:val="21"/>
          <w:szCs w:val="21"/>
          <w:lang w:eastAsia="en-US"/>
        </w:rPr>
        <w:t xml:space="preserve"> </w:t>
      </w:r>
    </w:p>
    <w:p>
      <w:pPr>
        <w:pStyle w:val="Nivel2"/>
        <w:numPr>
          <w:ilvl w:val="1"/>
          <w:numId w:val="211"/>
        </w:numPr>
        <w:ind w:left="0" w:hanging="0"/>
        <w:rPr>
          <w:rFonts w:ascii="Calibri" w:hAnsi="Calibri"/>
          <w:sz w:val="21"/>
          <w:szCs w:val="21"/>
        </w:rPr>
      </w:pPr>
      <w:r>
        <w:rPr>
          <w:rFonts w:ascii="Calibri" w:hAnsi="Calibri"/>
          <w:sz w:val="21"/>
          <w:szCs w:val="21"/>
        </w:rPr>
        <w:t>A Administração deverá realizar consulta ao SICAF para: a) verificar a manutenção das condições de habilitação exigidas; b)</w:t>
      </w:r>
      <w:r>
        <w:rPr>
          <w:rFonts w:ascii="Calibri" w:hAnsi="Calibri"/>
          <w:sz w:val="21"/>
          <w:szCs w:val="21"/>
          <w:shd w:fill="auto" w:val="clear"/>
        </w:rPr>
        <w:t xml:space="preserve"> identificar possível razão que impeça a contratação no âmbito do órgão ou entidade, tais como a proibição de contratar com a Administração ou com o Poder Público</w:t>
      </w:r>
      <w:r>
        <w:rPr>
          <w:rFonts w:ascii="Calibri" w:hAnsi="Calibri"/>
          <w:sz w:val="21"/>
          <w:szCs w:val="21"/>
        </w:rPr>
        <w:t>, bem como ocorrências impeditivas indiretas (INSTRUÇÃO NORMATIVA Nº 3, DE 26 DE ABRIL DE 2018).</w:t>
      </w:r>
    </w:p>
    <w:p>
      <w:pPr>
        <w:pStyle w:val="Nivel2"/>
        <w:numPr>
          <w:ilvl w:val="1"/>
          <w:numId w:val="212"/>
        </w:numPr>
        <w:ind w:left="0" w:hanging="0"/>
        <w:rPr>
          <w:rFonts w:ascii="Calibri" w:hAnsi="Calibri"/>
          <w:sz w:val="21"/>
          <w:szCs w:val="21"/>
        </w:rPr>
      </w:pPr>
      <w:r>
        <w:rPr>
          <w:rFonts w:ascii="Calibri" w:hAnsi="Calibri"/>
          <w:sz w:val="21"/>
          <w:szCs w:val="21"/>
          <w:lang w:eastAsia="en-US"/>
        </w:rPr>
        <w:t>Constatando-se, junto ao SICAF, a situação de irregularidade do contratado, será providenciada sua notificação, por escrito, para que, no prazo de 5 (cinco) dias úteis, regularize sua situação ou, no mesmo prazo, apresente sua defesa. O prazo poderá ser prorrogado uma vez, por igual período, a critério do contratante.</w:t>
      </w:r>
    </w:p>
    <w:p>
      <w:pPr>
        <w:pStyle w:val="Nivel2"/>
        <w:numPr>
          <w:ilvl w:val="1"/>
          <w:numId w:val="213"/>
        </w:numPr>
        <w:ind w:left="0" w:hanging="0"/>
        <w:rPr>
          <w:rFonts w:ascii="Calibri" w:hAnsi="Calibri"/>
          <w:sz w:val="21"/>
          <w:szCs w:val="21"/>
        </w:rPr>
      </w:pPr>
      <w:r>
        <w:rPr>
          <w:rFonts w:ascii="Calibri" w:hAnsi="Calibri"/>
          <w:sz w:val="21"/>
          <w:szCs w:val="21"/>
          <w:lang w:eastAsia="en-US"/>
        </w:rPr>
        <w:t xml:space="preserve">Não havendo regularização ou sendo a defesa considerada improcedente, o contratante deverá comunicar aos órgãos responsáveis pela fiscalização da regularidade fiscal quanto à inadimplência do contratado, bem como quanto à existência de pagamento a ser efetuado, para que sejam acionados os meios pertinentes e necessários para garantir o recebimento de seus créditos. </w:t>
      </w:r>
    </w:p>
    <w:p>
      <w:pPr>
        <w:pStyle w:val="Nivel2"/>
        <w:numPr>
          <w:ilvl w:val="1"/>
          <w:numId w:val="214"/>
        </w:numPr>
        <w:ind w:left="0" w:hanging="0"/>
        <w:rPr>
          <w:rFonts w:ascii="Calibri" w:hAnsi="Calibri"/>
          <w:sz w:val="21"/>
          <w:szCs w:val="21"/>
        </w:rPr>
      </w:pPr>
      <w:r>
        <w:rPr>
          <w:rFonts w:ascii="Calibri" w:hAnsi="Calibri"/>
          <w:sz w:val="21"/>
          <w:szCs w:val="21"/>
          <w:lang w:eastAsia="en-US"/>
        </w:rPr>
        <w:t xml:space="preserve">Persistindo a irregularidade, o contratante deverá adotar as medidas necessárias à rescisão contratual nos autos do processo administrativo correspondente, assegurada ao contratado a ampla defesa. </w:t>
      </w:r>
    </w:p>
    <w:p>
      <w:pPr>
        <w:pStyle w:val="Nivel2"/>
        <w:numPr>
          <w:ilvl w:val="1"/>
          <w:numId w:val="215"/>
        </w:numPr>
        <w:ind w:left="0" w:hanging="0"/>
        <w:rPr>
          <w:rFonts w:ascii="Calibri" w:hAnsi="Calibri"/>
          <w:sz w:val="21"/>
          <w:szCs w:val="21"/>
        </w:rPr>
      </w:pPr>
      <w:r>
        <w:rPr>
          <w:rFonts w:ascii="Calibri" w:hAnsi="Calibri"/>
          <w:sz w:val="21"/>
          <w:szCs w:val="21"/>
          <w:lang w:eastAsia="en-US"/>
        </w:rPr>
        <w:t xml:space="preserve">Havendo a efetiva execução do objeto, os pagamentos serão realizados normalmente, até que se decida pela rescisão do contrato, caso o contratado não regularize sua situação junto ao SICAF. </w:t>
      </w:r>
    </w:p>
    <w:p>
      <w:pPr>
        <w:pStyle w:val="Nvel1SemNumPreto"/>
        <w:rPr>
          <w:rFonts w:ascii="Calibri" w:hAnsi="Calibri"/>
          <w:sz w:val="21"/>
          <w:szCs w:val="21"/>
        </w:rPr>
      </w:pPr>
      <w:r>
        <w:rPr>
          <w:rFonts w:ascii="Calibri" w:hAnsi="Calibri"/>
          <w:sz w:val="21"/>
          <w:szCs w:val="21"/>
        </w:rPr>
        <w:t>Prazo de pagamento</w:t>
      </w:r>
    </w:p>
    <w:p>
      <w:pPr>
        <w:pStyle w:val="Nivel2"/>
        <w:numPr>
          <w:ilvl w:val="1"/>
          <w:numId w:val="216"/>
        </w:numPr>
        <w:ind w:left="0" w:hanging="0"/>
        <w:rPr/>
      </w:pPr>
      <w:r>
        <w:rPr>
          <w:rFonts w:ascii="Calibri" w:hAnsi="Calibri"/>
          <w:sz w:val="21"/>
          <w:szCs w:val="21"/>
        </w:rPr>
        <w:t xml:space="preserve">O pagamento será efetuado no prazo de até 10 (dez) dias úteis contados da finalização da liquidação da despesa, conforme seção anterior, nos termos da </w:t>
      </w:r>
      <w:hyperlink r:id="rId3">
        <w:r>
          <w:rPr>
            <w:rStyle w:val="LinkdaInternet"/>
            <w:rFonts w:ascii="Calibri" w:hAnsi="Calibri"/>
            <w:sz w:val="21"/>
            <w:szCs w:val="21"/>
          </w:rPr>
          <w:t>Instrução Normativa SEGES/ME nº 77, de 2022</w:t>
        </w:r>
      </w:hyperlink>
      <w:r>
        <w:rPr>
          <w:rFonts w:ascii="Calibri" w:hAnsi="Calibri"/>
          <w:sz w:val="21"/>
          <w:szCs w:val="21"/>
        </w:rPr>
        <w:t>.</w:t>
      </w:r>
    </w:p>
    <w:p>
      <w:pPr>
        <w:pStyle w:val="Nivel2"/>
        <w:numPr>
          <w:ilvl w:val="1"/>
          <w:numId w:val="217"/>
        </w:numPr>
        <w:ind w:left="0" w:hanging="0"/>
        <w:rPr>
          <w:rFonts w:ascii="Calibri" w:hAnsi="Calibri"/>
          <w:sz w:val="21"/>
          <w:szCs w:val="21"/>
        </w:rPr>
      </w:pPr>
      <w:commentRangeStart w:id="24"/>
      <w:r>
        <w:rPr>
          <w:rFonts w:ascii="Calibri" w:hAnsi="Calibri"/>
          <w:sz w:val="21"/>
          <w:szCs w:val="21"/>
          <w:lang w:eastAsia="en-US"/>
        </w:rPr>
        <w:t>No caso de atraso pelo Contratante, os valores devidos ao contratado serão atualizados monetariamente entre o termo final do prazo de pagamento até a data de sua efetiva realização, mediante aplicação do índice IPCA de correção monetária.</w:t>
      </w:r>
      <w:commentRangeEnd w:id="24"/>
      <w:r>
        <w:commentReference w:id="24"/>
      </w:r>
      <w:r>
        <w:rPr>
          <w:rFonts w:ascii="Calibri" w:hAnsi="Calibri"/>
          <w:sz w:val="21"/>
          <w:szCs w:val="21"/>
          <w:lang w:eastAsia="en-US"/>
        </w:rPr>
      </w:r>
    </w:p>
    <w:p>
      <w:pPr>
        <w:pStyle w:val="Nvel1SemNumPreto"/>
        <w:rPr>
          <w:rFonts w:ascii="Calibri" w:hAnsi="Calibri"/>
          <w:sz w:val="21"/>
          <w:szCs w:val="21"/>
        </w:rPr>
      </w:pPr>
      <w:r>
        <w:rPr>
          <w:rFonts w:ascii="Calibri" w:hAnsi="Calibri"/>
          <w:sz w:val="21"/>
          <w:szCs w:val="21"/>
        </w:rPr>
        <w:t>Forma de pagamento</w:t>
      </w:r>
    </w:p>
    <w:p>
      <w:pPr>
        <w:pStyle w:val="Nivel2"/>
        <w:numPr>
          <w:ilvl w:val="1"/>
          <w:numId w:val="218"/>
        </w:numPr>
        <w:ind w:left="0" w:hanging="0"/>
        <w:rPr>
          <w:rFonts w:ascii="Calibri" w:hAnsi="Calibri"/>
          <w:sz w:val="21"/>
          <w:szCs w:val="21"/>
        </w:rPr>
      </w:pPr>
      <w:r>
        <w:rPr>
          <w:rFonts w:ascii="Calibri" w:hAnsi="Calibri"/>
          <w:sz w:val="21"/>
          <w:szCs w:val="21"/>
          <w:lang w:eastAsia="en-US"/>
        </w:rPr>
        <w:t>O pagamento será realizado por meio de ordem bancária, para crédito em banco, agência e conta corrente indicados pelo contratado.</w:t>
      </w:r>
    </w:p>
    <w:p>
      <w:pPr>
        <w:pStyle w:val="Nivel2"/>
        <w:numPr>
          <w:ilvl w:val="1"/>
          <w:numId w:val="219"/>
        </w:numPr>
        <w:ind w:left="0" w:hanging="0"/>
        <w:rPr>
          <w:rFonts w:ascii="Calibri" w:hAnsi="Calibri"/>
          <w:sz w:val="21"/>
          <w:szCs w:val="21"/>
        </w:rPr>
      </w:pPr>
      <w:r>
        <w:rPr>
          <w:rFonts w:ascii="Calibri" w:hAnsi="Calibri"/>
          <w:sz w:val="21"/>
          <w:szCs w:val="21"/>
          <w:lang w:eastAsia="en-US"/>
        </w:rPr>
        <w:t>Será considerada data do pagamento o dia em que constar como emitida a ordem bancária para pagamento.</w:t>
      </w:r>
    </w:p>
    <w:p>
      <w:pPr>
        <w:pStyle w:val="Nivel2"/>
        <w:numPr>
          <w:ilvl w:val="1"/>
          <w:numId w:val="220"/>
        </w:numPr>
        <w:ind w:left="0" w:hanging="0"/>
        <w:rPr>
          <w:rFonts w:ascii="Calibri" w:hAnsi="Calibri"/>
          <w:sz w:val="21"/>
          <w:szCs w:val="21"/>
        </w:rPr>
      </w:pPr>
      <w:r>
        <w:rPr>
          <w:rFonts w:ascii="Calibri" w:hAnsi="Calibri"/>
          <w:sz w:val="21"/>
          <w:szCs w:val="21"/>
          <w:lang w:eastAsia="en-US"/>
        </w:rPr>
        <w:t>Quando do pagamento, será efetuada a retenção tributária prevista na legislação aplicável.</w:t>
      </w:r>
    </w:p>
    <w:p>
      <w:pPr>
        <w:pStyle w:val="Nivel3"/>
        <w:numPr>
          <w:ilvl w:val="2"/>
          <w:numId w:val="221"/>
        </w:numPr>
        <w:ind w:left="284" w:hanging="0"/>
        <w:rPr>
          <w:rFonts w:ascii="Calibri" w:hAnsi="Calibri"/>
          <w:sz w:val="21"/>
          <w:szCs w:val="21"/>
        </w:rPr>
      </w:pPr>
      <w:commentRangeStart w:id="25"/>
      <w:r>
        <w:rPr>
          <w:rFonts w:ascii="Calibri" w:hAnsi="Calibri"/>
          <w:sz w:val="21"/>
          <w:szCs w:val="21"/>
          <w:lang w:eastAsia="en-US"/>
        </w:rPr>
        <w:t>Independentemente do percentual de tributo inserido na planilha, quando houver, serão retidos na fonte, quando da realização do pagamento, os percentuais estabelecidos na legislação vigente.</w:t>
      </w:r>
      <w:commentRangeEnd w:id="25"/>
      <w:r>
        <w:commentReference w:id="25"/>
      </w:r>
      <w:r>
        <w:rPr>
          <w:rFonts w:ascii="Calibri" w:hAnsi="Calibri"/>
          <w:sz w:val="21"/>
          <w:szCs w:val="21"/>
          <w:lang w:eastAsia="en-US"/>
        </w:rPr>
      </w:r>
    </w:p>
    <w:p>
      <w:pPr>
        <w:pStyle w:val="Nivel2"/>
        <w:numPr>
          <w:ilvl w:val="1"/>
          <w:numId w:val="222"/>
        </w:numPr>
        <w:ind w:left="0" w:hanging="0"/>
        <w:rPr/>
      </w:pPr>
      <w:r>
        <w:rPr>
          <w:rFonts w:ascii="Calibri" w:hAnsi="Calibri"/>
          <w:sz w:val="21"/>
          <w:szCs w:val="21"/>
          <w:lang w:eastAsia="en-US"/>
        </w:rPr>
        <w:t xml:space="preserve">O contratado regularmente optante pelo Simples Nacional, nos termos da </w:t>
      </w:r>
      <w:hyperlink r:id="rId4">
        <w:r>
          <w:rPr>
            <w:rStyle w:val="LinkdaInternet"/>
            <w:rFonts w:ascii="Calibri" w:hAnsi="Calibri"/>
            <w:sz w:val="21"/>
            <w:szCs w:val="21"/>
            <w:lang w:eastAsia="en-US"/>
          </w:rPr>
          <w:t>Lei Complementar nº 123, de 2006</w:t>
        </w:r>
      </w:hyperlink>
      <w:r>
        <w:rPr>
          <w:rFonts w:ascii="Calibri" w:hAnsi="Calibri"/>
          <w:sz w:val="21"/>
          <w:szCs w:val="21"/>
          <w:lang w:eastAsia="en-US"/>
        </w:rPr>
        <w:t>,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pPr>
        <w:pStyle w:val="Nvel1SemNum"/>
        <w:rPr>
          <w:rFonts w:ascii="Calibri" w:hAnsi="Calibri"/>
          <w:sz w:val="21"/>
          <w:szCs w:val="21"/>
        </w:rPr>
      </w:pPr>
      <w:commentRangeStart w:id="26"/>
      <w:r>
        <w:rPr>
          <w:rFonts w:ascii="Calibri" w:hAnsi="Calibri"/>
          <w:sz w:val="21"/>
          <w:szCs w:val="21"/>
          <w:lang w:eastAsia="en-US"/>
        </w:rPr>
        <w:t>Antecipação de pagamento</w:t>
      </w:r>
      <w:commentRangeEnd w:id="26"/>
      <w:r>
        <w:commentReference w:id="26"/>
      </w:r>
      <w:r>
        <w:rPr>
          <w:rFonts w:ascii="Calibri" w:hAnsi="Calibri"/>
          <w:sz w:val="21"/>
          <w:szCs w:val="21"/>
          <w:lang w:eastAsia="en-US"/>
        </w:rPr>
      </w:r>
    </w:p>
    <w:p>
      <w:pPr>
        <w:pStyle w:val="Nvel2Red"/>
        <w:numPr>
          <w:ilvl w:val="1"/>
          <w:numId w:val="223"/>
        </w:numPr>
        <w:ind w:left="0" w:hanging="0"/>
        <w:rPr>
          <w:rFonts w:ascii="Calibri" w:hAnsi="Calibri"/>
          <w:sz w:val="21"/>
          <w:szCs w:val="21"/>
        </w:rPr>
      </w:pPr>
      <w:r>
        <w:rPr>
          <w:rFonts w:ascii="Calibri" w:hAnsi="Calibri"/>
          <w:i w:val="false"/>
          <w:iCs w:val="false"/>
          <w:color w:val="auto"/>
          <w:sz w:val="21"/>
          <w:szCs w:val="21"/>
          <w:lang w:eastAsia="en-US"/>
        </w:rPr>
        <w:t>A presente contratação não permite a antecipação de pagamento. Por tratar-se de empenho ordinário, o pagamento será realizado após entrega de todos os itens.</w:t>
      </w:r>
      <w:r>
        <w:rPr>
          <w:rFonts w:ascii="Calibri" w:hAnsi="Calibri"/>
          <w:i w:val="false"/>
          <w:iCs w:val="false"/>
          <w:color w:val="auto"/>
          <w:sz w:val="21"/>
          <w:szCs w:val="21"/>
        </w:rPr>
        <w:tab/>
      </w:r>
    </w:p>
    <w:p>
      <w:pPr>
        <w:pStyle w:val="Nvel2Red"/>
        <w:numPr>
          <w:ilvl w:val="0"/>
          <w:numId w:val="0"/>
        </w:numPr>
        <w:ind w:left="360" w:hanging="0"/>
        <w:rPr>
          <w:rFonts w:ascii="Calibri" w:hAnsi="Calibri"/>
          <w:sz w:val="21"/>
          <w:szCs w:val="21"/>
        </w:rPr>
      </w:pPr>
      <w:r>
        <w:rPr>
          <w:rFonts w:ascii="Calibri" w:hAnsi="Calibri"/>
          <w:sz w:val="21"/>
          <w:szCs w:val="21"/>
        </w:rPr>
      </w:r>
    </w:p>
    <w:p>
      <w:pPr>
        <w:pStyle w:val="Nvel1SemNumPreto"/>
        <w:rPr>
          <w:rFonts w:ascii="Calibri" w:hAnsi="Calibri"/>
          <w:sz w:val="21"/>
          <w:szCs w:val="21"/>
        </w:rPr>
      </w:pPr>
      <w:commentRangeStart w:id="27"/>
      <w:r>
        <w:rPr>
          <w:rFonts w:ascii="Calibri" w:hAnsi="Calibri"/>
          <w:sz w:val="21"/>
          <w:szCs w:val="21"/>
        </w:rPr>
        <w:t>Cessão de crédito</w:t>
      </w:r>
      <w:commentRangeEnd w:id="27"/>
      <w:r>
        <w:commentReference w:id="27"/>
      </w:r>
      <w:r>
        <w:rPr>
          <w:rFonts w:ascii="Calibri" w:hAnsi="Calibri"/>
          <w:sz w:val="21"/>
          <w:szCs w:val="21"/>
        </w:rPr>
      </w:r>
    </w:p>
    <w:p>
      <w:pPr>
        <w:pStyle w:val="Nivel2"/>
        <w:numPr>
          <w:ilvl w:val="1"/>
          <w:numId w:val="224"/>
        </w:numPr>
        <w:ind w:left="0" w:hanging="0"/>
        <w:rPr/>
      </w:pPr>
      <w:r>
        <w:rPr>
          <w:rFonts w:ascii="Calibri" w:hAnsi="Calibri"/>
          <w:sz w:val="21"/>
          <w:szCs w:val="21"/>
          <w:lang w:eastAsia="en-US"/>
        </w:rPr>
        <w:t xml:space="preserve">É admitida a cessão fiduciária de direitos creditícios com instituição financeira, nos termos e de acordo com os procedimentos previstos na </w:t>
      </w:r>
      <w:hyperlink r:id="rId5">
        <w:r>
          <w:rPr>
            <w:rStyle w:val="LinkdaInternet"/>
            <w:rFonts w:ascii="Calibri" w:hAnsi="Calibri"/>
            <w:sz w:val="21"/>
            <w:szCs w:val="21"/>
            <w:lang w:eastAsia="en-US"/>
          </w:rPr>
          <w:t>Instrução Normativa SEGES/ME nº 53, de 8 de Julho de 2020</w:t>
        </w:r>
      </w:hyperlink>
      <w:r>
        <w:rPr>
          <w:rFonts w:ascii="Calibri" w:hAnsi="Calibri"/>
          <w:sz w:val="21"/>
          <w:szCs w:val="21"/>
          <w:lang w:eastAsia="en-US"/>
        </w:rPr>
        <w:t>, conforme as regras deste presente tópico.</w:t>
      </w:r>
    </w:p>
    <w:p>
      <w:pPr>
        <w:pStyle w:val="Nvel3R"/>
        <w:numPr>
          <w:ilvl w:val="2"/>
          <w:numId w:val="225"/>
        </w:numPr>
        <w:ind w:left="284" w:hanging="0"/>
        <w:rPr>
          <w:rFonts w:ascii="Calibri" w:hAnsi="Calibri"/>
          <w:sz w:val="21"/>
          <w:szCs w:val="21"/>
        </w:rPr>
      </w:pPr>
      <w:commentRangeStart w:id="28"/>
      <w:r>
        <w:rPr>
          <w:rFonts w:ascii="Calibri" w:hAnsi="Calibri"/>
          <w:color w:val="auto"/>
          <w:sz w:val="21"/>
          <w:szCs w:val="21"/>
          <w:lang w:eastAsia="en-US"/>
        </w:rPr>
        <w:t>A</w:t>
      </w:r>
      <w:commentRangeStart w:id="29"/>
      <w:r>
        <w:rPr>
          <w:rFonts w:ascii="Calibri" w:hAnsi="Calibri"/>
          <w:color w:val="auto"/>
          <w:sz w:val="21"/>
          <w:szCs w:val="21"/>
          <w:lang w:eastAsia="en-US"/>
        </w:rPr>
        <w:t>s cessões de crédit</w:t>
      </w:r>
      <w:r>
        <w:rPr>
          <w:rFonts w:ascii="Calibri" w:hAnsi="Calibri"/>
          <w:color w:val="auto"/>
          <w:sz w:val="21"/>
          <w:szCs w:val="21"/>
          <w:lang w:eastAsia="en-US"/>
        </w:rPr>
      </w:r>
      <w:commentRangeEnd w:id="29"/>
      <w:r>
        <w:commentReference w:id="29"/>
      </w:r>
      <w:r>
        <w:rPr>
          <w:rFonts w:ascii="Calibri" w:hAnsi="Calibri"/>
          <w:color w:val="auto"/>
          <w:sz w:val="21"/>
          <w:szCs w:val="21"/>
          <w:lang w:eastAsia="en-US"/>
        </w:rPr>
        <w:t>o não fiduciárias dependerão de prévia aprovação do cont</w:t>
      </w:r>
      <w:bookmarkStart w:id="0" w:name="_Ref118216946"/>
      <w:bookmarkEnd w:id="0"/>
      <w:r>
        <w:rPr>
          <w:rFonts w:ascii="Calibri" w:hAnsi="Calibri"/>
          <w:color w:val="auto"/>
          <w:sz w:val="21"/>
          <w:szCs w:val="21"/>
          <w:lang w:eastAsia="en-US"/>
        </w:rPr>
        <w:t>ratante.</w:t>
      </w:r>
      <w:commentRangeEnd w:id="28"/>
      <w:r>
        <w:commentReference w:id="28"/>
      </w:r>
      <w:r>
        <w:rPr>
          <w:rFonts w:ascii="Calibri" w:hAnsi="Calibri"/>
          <w:color w:val="auto"/>
          <w:sz w:val="21"/>
          <w:szCs w:val="21"/>
          <w:lang w:eastAsia="en-US"/>
        </w:rPr>
      </w:r>
    </w:p>
    <w:p>
      <w:pPr>
        <w:pStyle w:val="Nivel2"/>
        <w:numPr>
          <w:ilvl w:val="1"/>
          <w:numId w:val="226"/>
        </w:numPr>
        <w:ind w:left="0" w:hanging="0"/>
        <w:rPr>
          <w:rFonts w:ascii="Calibri" w:hAnsi="Calibri"/>
          <w:sz w:val="21"/>
          <w:szCs w:val="21"/>
        </w:rPr>
      </w:pPr>
      <w:commentRangeStart w:id="30"/>
      <w:r>
        <w:rPr>
          <w:rFonts w:ascii="Calibri" w:hAnsi="Calibri"/>
          <w:sz w:val="21"/>
          <w:szCs w:val="21"/>
          <w:lang w:eastAsia="en-US"/>
        </w:rPr>
        <w:t>A eficácia da cessão de crédito, de qualquer natureza, em relação à Administração, está condicionada à celebração de termo aditivo ao contrato administrativo.</w:t>
      </w:r>
    </w:p>
    <w:p>
      <w:pPr>
        <w:pStyle w:val="Nivel2"/>
        <w:numPr>
          <w:ilvl w:val="1"/>
          <w:numId w:val="227"/>
        </w:numPr>
        <w:ind w:left="0" w:hanging="0"/>
        <w:rPr/>
      </w:pPr>
      <w:r>
        <w:rPr>
          <w:rFonts w:ascii="Calibri" w:hAnsi="Calibri"/>
          <w:sz w:val="21"/>
          <w:szCs w:val="21"/>
          <w:lang w:eastAsia="en-US"/>
        </w:rPr>
        <w:t xml:space="preserve">Sem prejuízo do regular atendimento da obrigação contratual de cumprimento de todas as condições de habilitação por parte do contratado (cedente), a celebração do aditamento de cessão de crédito e a realização dos pagamentos respectivos também se condicionam à regularidade fiscal e trabalhista do cessionário, bem como à certificação de que o cessionário não se encontra impedido de licitar e contratar com o Poder Público, conforme a legislação em vigor, ou de receber benefícios ou incentivos fiscais ou creditícios, direta ou indiretamente, conforme </w:t>
      </w:r>
      <w:r>
        <w:fldChar w:fldCharType="begin"/>
      </w:r>
      <w:r>
        <w:rPr>
          <w:rStyle w:val="LinkdaInternet"/>
          <w:sz w:val="21"/>
          <w:szCs w:val="21"/>
          <w:rFonts w:ascii="Calibri" w:hAnsi="Calibri"/>
          <w:lang w:eastAsia="en-US"/>
        </w:rPr>
        <w:instrText> HYPERLINK "https://www.planalto.gov.br/ccivil_03/leis/l8429.htm" \l ":~:text=LEI Nº 8.429%2C DE 2 DE JUNHO DE 1992&amp;text=Dispõe sobre as sanções aplicáveis,fundacional e dá outras providências."</w:instrText>
      </w:r>
      <w:r>
        <w:rPr>
          <w:rStyle w:val="LinkdaInternet"/>
          <w:sz w:val="21"/>
          <w:szCs w:val="21"/>
          <w:rFonts w:ascii="Calibri" w:hAnsi="Calibri"/>
          <w:lang w:eastAsia="en-US"/>
        </w:rPr>
        <w:fldChar w:fldCharType="separate"/>
      </w:r>
      <w:r>
        <w:rPr>
          <w:rStyle w:val="LinkdaInternet"/>
          <w:rFonts w:ascii="Calibri" w:hAnsi="Calibri"/>
          <w:sz w:val="21"/>
          <w:szCs w:val="21"/>
          <w:lang w:eastAsia="en-US"/>
        </w:rPr>
        <w:t>o art. 12 da Lei nº 8.429, de 1992</w:t>
      </w:r>
      <w:r>
        <w:rPr>
          <w:rStyle w:val="LinkdaInternet"/>
          <w:sz w:val="21"/>
          <w:szCs w:val="21"/>
          <w:rFonts w:ascii="Calibri" w:hAnsi="Calibri"/>
          <w:lang w:eastAsia="en-US"/>
        </w:rPr>
        <w:fldChar w:fldCharType="end"/>
      </w:r>
      <w:r>
        <w:rPr>
          <w:rFonts w:ascii="Calibri" w:hAnsi="Calibri"/>
          <w:sz w:val="21"/>
          <w:szCs w:val="21"/>
          <w:lang w:eastAsia="en-US"/>
        </w:rPr>
        <w:t xml:space="preserve">, nos termos do </w:t>
      </w:r>
      <w:hyperlink r:id="rId6">
        <w:r>
          <w:rPr>
            <w:rStyle w:val="LinkdaInternet"/>
            <w:rFonts w:ascii="Calibri" w:hAnsi="Calibri"/>
            <w:sz w:val="21"/>
            <w:szCs w:val="21"/>
            <w:lang w:eastAsia="en-US"/>
          </w:rPr>
          <w:t>Parecer JL-01, de 18 de maio de 2020.</w:t>
        </w:r>
      </w:hyperlink>
    </w:p>
    <w:p>
      <w:pPr>
        <w:pStyle w:val="Nivel2"/>
        <w:numPr>
          <w:ilvl w:val="1"/>
          <w:numId w:val="228"/>
        </w:numPr>
        <w:ind w:left="0" w:hanging="0"/>
        <w:rPr>
          <w:rFonts w:ascii="Calibri" w:hAnsi="Calibri"/>
          <w:sz w:val="21"/>
          <w:szCs w:val="21"/>
        </w:rPr>
      </w:pPr>
      <w:r>
        <w:rPr>
          <w:rFonts w:ascii="Calibri" w:hAnsi="Calibri"/>
          <w:sz w:val="21"/>
          <w:szCs w:val="21"/>
        </w:rPr>
        <w:t xml:space="preserve">O crédito a ser pago à cessionária é exatamente aquele que seria destinado à cedente (contratado) pela execução do objeto contratual, restando absolutamente incólumes todas as defesas e exceções ao pagamento e todas as demais cláusulas exorbitantes ao direito comum aplicáveis no regime jurídico de direito público incidente sobre os contratos administrativos, incluindo a possibilidade de pagamento em conta vinculada ou de pagamento pela efetiva comprovação do fato gerador, quando for o caso, e o desconto de multas, glosas e prejuízos causados à Administração. </w:t>
      </w:r>
      <w:commentRangeStart w:id="31"/>
      <w:r>
        <w:rPr>
          <w:rFonts w:ascii="Calibri" w:hAnsi="Calibri"/>
          <w:sz w:val="21"/>
          <w:szCs w:val="21"/>
        </w:rPr>
        <w:t>(INSTRUÇÃO NORMATIVA Nº 53, DE 8 DE JULHO DE 2020 e Anexos)</w:t>
      </w:r>
      <w:commentRangeEnd w:id="31"/>
      <w:r>
        <w:commentReference w:id="31"/>
      </w:r>
      <w:r>
        <w:rPr>
          <w:rFonts w:ascii="Calibri" w:hAnsi="Calibri"/>
          <w:sz w:val="21"/>
          <w:szCs w:val="21"/>
        </w:rPr>
      </w:r>
    </w:p>
    <w:p>
      <w:pPr>
        <w:pStyle w:val="Nivel2"/>
        <w:numPr>
          <w:ilvl w:val="1"/>
          <w:numId w:val="229"/>
        </w:numPr>
        <w:ind w:left="0" w:hanging="0"/>
        <w:rPr>
          <w:rFonts w:ascii="Calibri" w:hAnsi="Calibri"/>
          <w:sz w:val="21"/>
          <w:szCs w:val="21"/>
        </w:rPr>
      </w:pPr>
      <w:r>
        <w:rPr>
          <w:rFonts w:ascii="Calibri" w:hAnsi="Calibri"/>
          <w:sz w:val="21"/>
          <w:szCs w:val="21"/>
          <w:lang w:eastAsia="en-US"/>
        </w:rPr>
        <w:t>A cessão de crédito não afetará a execução do objeto contratado, que continuará sob a integral responsabilidade do contratado.</w:t>
      </w:r>
      <w:commentRangeEnd w:id="30"/>
      <w:r>
        <w:commentReference w:id="30"/>
      </w:r>
      <w:r>
        <w:rPr>
          <w:rFonts w:ascii="Calibri" w:hAnsi="Calibri"/>
          <w:sz w:val="21"/>
          <w:szCs w:val="21"/>
          <w:lang w:eastAsia="en-US"/>
        </w:rPr>
      </w:r>
    </w:p>
    <w:p>
      <w:pPr>
        <w:pStyle w:val="Nivel2"/>
        <w:numPr>
          <w:ilvl w:val="0"/>
          <w:numId w:val="0"/>
        </w:numPr>
        <w:ind w:left="0" w:hanging="0"/>
        <w:rPr>
          <w:rFonts w:ascii="Calibri" w:hAnsi="Calibri"/>
          <w:color w:val="000000" w:themeColor="text1"/>
          <w:sz w:val="21"/>
          <w:szCs w:val="21"/>
          <w:lang w:eastAsia="en-US"/>
        </w:rPr>
      </w:pPr>
      <w:r>
        <w:rPr>
          <w:rFonts w:ascii="Calibri" w:hAnsi="Calibri"/>
          <w:color w:val="000000" w:themeColor="text1"/>
          <w:sz w:val="21"/>
          <w:szCs w:val="21"/>
          <w:lang w:eastAsia="en-US"/>
        </w:rPr>
      </w:r>
    </w:p>
    <w:p>
      <w:pPr>
        <w:pStyle w:val="Nivel01"/>
        <w:numPr>
          <w:ilvl w:val="0"/>
          <w:numId w:val="4"/>
        </w:numPr>
        <w:ind w:left="0" w:hanging="0"/>
        <w:rPr>
          <w:rFonts w:ascii="Calibri" w:hAnsi="Calibri"/>
          <w:sz w:val="21"/>
          <w:szCs w:val="21"/>
        </w:rPr>
      </w:pPr>
      <w:r>
        <w:rPr>
          <w:rFonts w:ascii="Calibri" w:hAnsi="Calibri"/>
          <w:sz w:val="21"/>
          <w:szCs w:val="21"/>
          <w:shd w:fill="auto" w:val="clear"/>
        </w:rPr>
        <w:t>FORMA E CRITÉRIOS DE SELEÇÃO DO FORNECEDOR E FORMA DE FORNECIMENTO</w:t>
      </w:r>
    </w:p>
    <w:p>
      <w:pPr>
        <w:pStyle w:val="Nivel2"/>
        <w:numPr>
          <w:ilvl w:val="1"/>
          <w:numId w:val="230"/>
        </w:numPr>
        <w:ind w:left="0" w:hanging="0"/>
        <w:rPr>
          <w:rFonts w:ascii="Calibri" w:hAnsi="Calibri"/>
          <w:sz w:val="21"/>
          <w:szCs w:val="21"/>
        </w:rPr>
      </w:pPr>
      <w:r>
        <w:rPr>
          <w:rFonts w:ascii="Calibri" w:hAnsi="Calibri"/>
          <w:i w:val="false"/>
          <w:iCs w:val="false"/>
          <w:color w:val="auto"/>
          <w:sz w:val="21"/>
          <w:szCs w:val="21"/>
        </w:rPr>
        <w:t>O fornecedor será selecionado por meio da realização de procedimento de dispensa de licitação, na forma eletrônica, com fundamento na hipótese do art. 75, inciso II da Lei n.º 14.133/2021, que culminará com a seleção da proposta de MENOR PREÇO POR ITEM.</w:t>
      </w:r>
    </w:p>
    <w:p>
      <w:pPr>
        <w:pStyle w:val="Nvel1SemNumPreto"/>
        <w:rPr>
          <w:rFonts w:ascii="Calibri" w:hAnsi="Calibri"/>
          <w:sz w:val="21"/>
          <w:szCs w:val="21"/>
        </w:rPr>
      </w:pPr>
      <w:r>
        <w:rPr>
          <w:rFonts w:ascii="Calibri" w:hAnsi="Calibri"/>
          <w:sz w:val="21"/>
          <w:szCs w:val="21"/>
        </w:rPr>
        <w:t>Forma de fornecimento</w:t>
      </w:r>
    </w:p>
    <w:p>
      <w:pPr>
        <w:pStyle w:val="Nivel2"/>
        <w:numPr>
          <w:ilvl w:val="1"/>
          <w:numId w:val="231"/>
        </w:numPr>
        <w:ind w:left="0" w:hanging="0"/>
        <w:rPr/>
      </w:pPr>
      <w:r>
        <w:rPr>
          <w:rStyle w:val="Normaltextrun"/>
          <w:rFonts w:ascii="Calibri" w:hAnsi="Calibri"/>
          <w:sz w:val="21"/>
          <w:szCs w:val="21"/>
          <w:shd w:fill="FFFFFF" w:val="clear"/>
        </w:rPr>
        <w:t xml:space="preserve">O </w:t>
      </w:r>
      <w:r>
        <w:rPr>
          <w:rStyle w:val="Findhit"/>
          <w:rFonts w:ascii="Calibri" w:hAnsi="Calibri"/>
          <w:sz w:val="21"/>
          <w:szCs w:val="21"/>
          <w:shd w:fill="FFFFFF" w:val="clear"/>
        </w:rPr>
        <w:t xml:space="preserve">fornecimento do objeto será </w:t>
      </w:r>
      <w:r>
        <w:rPr>
          <w:rFonts w:ascii="Calibri" w:hAnsi="Calibri"/>
          <w:color w:val="auto"/>
          <w:sz w:val="21"/>
          <w:szCs w:val="21"/>
        </w:rPr>
        <w:t>integral</w:t>
      </w:r>
      <w:r>
        <w:rPr>
          <w:rFonts w:ascii="Calibri" w:hAnsi="Calibri"/>
          <w:color w:val="000000"/>
          <w:sz w:val="21"/>
          <w:szCs w:val="21"/>
          <w:shd w:fill="FFFFFF" w:val="clear"/>
        </w:rPr>
        <w:t>.</w:t>
      </w:r>
    </w:p>
    <w:p>
      <w:pPr>
        <w:pStyle w:val="Nvel1SemNumPreto"/>
        <w:rPr>
          <w:rFonts w:ascii="Calibri" w:hAnsi="Calibri"/>
          <w:sz w:val="21"/>
          <w:szCs w:val="21"/>
        </w:rPr>
      </w:pPr>
      <w:commentRangeStart w:id="32"/>
      <w:r>
        <w:rPr>
          <w:rFonts w:ascii="Calibri" w:hAnsi="Calibri"/>
          <w:sz w:val="21"/>
          <w:szCs w:val="21"/>
        </w:rPr>
        <w:t>Exigências de habilitação</w:t>
      </w:r>
      <w:commentRangeEnd w:id="32"/>
      <w:r>
        <w:commentReference w:id="32"/>
      </w:r>
      <w:r>
        <w:rPr>
          <w:rFonts w:ascii="Calibri" w:hAnsi="Calibri"/>
          <w:sz w:val="21"/>
          <w:szCs w:val="21"/>
        </w:rPr>
      </w:r>
    </w:p>
    <w:p>
      <w:pPr>
        <w:pStyle w:val="Nivel2"/>
        <w:numPr>
          <w:ilvl w:val="1"/>
          <w:numId w:val="232"/>
        </w:numPr>
        <w:ind w:left="0" w:hanging="432"/>
        <w:rPr>
          <w:rFonts w:ascii="Calibri" w:hAnsi="Calibri"/>
          <w:sz w:val="21"/>
          <w:szCs w:val="21"/>
        </w:rPr>
      </w:pPr>
      <w:commentRangeStart w:id="33"/>
      <w:r>
        <w:rPr>
          <w:rFonts w:eastAsia="Ecofont_Spranq_eco_Sans" w:cs="Ecofont_Spranq_eco_Sans" w:ascii="Calibri" w:hAnsi="Calibri"/>
          <w:i w:val="false"/>
          <w:iCs w:val="false"/>
          <w:color w:val="auto"/>
          <w:sz w:val="21"/>
          <w:szCs w:val="21"/>
        </w:rPr>
        <w:t>Previamente à celebração do contrato, a Administração verificará o eventual descumprimento das condições para contratação, especialmente quanto à existência de sanção que a impeça, mediante a consulta a cadastros informativos oficiais, tais como:</w:t>
      </w:r>
      <w:r>
        <w:rPr>
          <w:rFonts w:eastAsia="Ecofont_Spranq_eco_Sans" w:cs="Ecofont_Spranq_eco_Sans" w:ascii="Calibri" w:hAnsi="Calibri"/>
          <w:i w:val="false"/>
          <w:iCs w:val="false"/>
          <w:color w:val="auto"/>
          <w:sz w:val="21"/>
          <w:szCs w:val="21"/>
        </w:rPr>
      </w:r>
      <w:commentRangeEnd w:id="33"/>
      <w:r>
        <w:commentReference w:id="33"/>
      </w:r>
      <w:r>
        <w:rPr>
          <w:rFonts w:eastAsia="Ecofont_Spranq_eco_Sans" w:cs="Ecofont_Spranq_eco_Sans" w:ascii="Calibri" w:hAnsi="Calibri"/>
          <w:i w:val="false"/>
          <w:iCs w:val="false"/>
          <w:color w:val="auto"/>
          <w:sz w:val="21"/>
          <w:szCs w:val="21"/>
        </w:rPr>
        <w:t xml:space="preserve">  </w:t>
      </w:r>
    </w:p>
    <w:p>
      <w:pPr>
        <w:pStyle w:val="Normal"/>
        <w:spacing w:lineRule="auto" w:line="276" w:before="120" w:after="120"/>
        <w:ind w:left="810" w:hanging="0"/>
        <w:jc w:val="both"/>
        <w:rPr>
          <w:rFonts w:ascii="Calibri" w:hAnsi="Calibri"/>
          <w:sz w:val="21"/>
          <w:szCs w:val="21"/>
        </w:rPr>
      </w:pPr>
      <w:r>
        <w:rPr>
          <w:rFonts w:eastAsia="Arial" w:cs="Arial" w:ascii="Calibri" w:hAnsi="Calibri"/>
          <w:i w:val="false"/>
          <w:iCs w:val="false"/>
          <w:sz w:val="21"/>
          <w:szCs w:val="21"/>
        </w:rPr>
        <w:t xml:space="preserve">a) SICAF; </w:t>
      </w:r>
    </w:p>
    <w:p>
      <w:pPr>
        <w:pStyle w:val="Normal"/>
        <w:spacing w:lineRule="auto" w:line="276" w:before="120" w:after="120"/>
        <w:ind w:left="810" w:hanging="0"/>
        <w:jc w:val="both"/>
        <w:rPr/>
      </w:pPr>
      <w:r>
        <w:rPr>
          <w:rFonts w:eastAsia="Arial" w:cs="Arial" w:ascii="Calibri" w:hAnsi="Calibri"/>
          <w:i w:val="false"/>
          <w:iCs w:val="false"/>
          <w:sz w:val="21"/>
          <w:szCs w:val="21"/>
        </w:rPr>
        <w:t>b) Cadastro Nacional de Empresas Inidôneas e Suspensas - CEIS, mantido pela Controladoria-Geral da União (</w:t>
      </w:r>
      <w:hyperlink r:id="rId7">
        <w:r>
          <w:rPr>
            <w:rStyle w:val="LinkdaInternet"/>
            <w:rFonts w:eastAsia="Arial" w:cs="Arial" w:ascii="Calibri" w:hAnsi="Calibri"/>
            <w:i w:val="false"/>
            <w:iCs w:val="false"/>
            <w:color w:val="auto"/>
            <w:sz w:val="21"/>
            <w:szCs w:val="21"/>
          </w:rPr>
          <w:t>www.portaldatransparencia.gov.br/ceis</w:t>
        </w:r>
      </w:hyperlink>
      <w:r>
        <w:rPr>
          <w:rFonts w:eastAsia="Arial" w:cs="Arial" w:ascii="Calibri" w:hAnsi="Calibri"/>
          <w:i w:val="false"/>
          <w:iCs w:val="false"/>
          <w:sz w:val="21"/>
          <w:szCs w:val="21"/>
        </w:rPr>
        <w:t xml:space="preserve">);  </w:t>
      </w:r>
    </w:p>
    <w:p>
      <w:pPr>
        <w:pStyle w:val="Normal"/>
        <w:spacing w:lineRule="auto" w:line="276" w:before="120" w:after="120"/>
        <w:ind w:left="810" w:hanging="0"/>
        <w:jc w:val="both"/>
        <w:rPr/>
      </w:pPr>
      <w:r>
        <w:rPr>
          <w:rFonts w:eastAsia="Arial" w:cs="Arial" w:ascii="Calibri" w:hAnsi="Calibri"/>
          <w:i w:val="false"/>
          <w:iCs w:val="false"/>
          <w:sz w:val="21"/>
          <w:szCs w:val="21"/>
        </w:rPr>
        <w:t>c) Cadastro Nacional de Empresas Punidas – CNEP, mantido pela Controladoria-Geral da União (</w:t>
      </w:r>
      <w:hyperlink r:id="rId8">
        <w:r>
          <w:rPr>
            <w:rStyle w:val="LinkdaInternet"/>
            <w:rFonts w:eastAsia="Arial" w:cs="Arial" w:ascii="Calibri" w:hAnsi="Calibri"/>
            <w:i w:val="false"/>
            <w:iCs w:val="false"/>
            <w:color w:val="auto"/>
            <w:sz w:val="21"/>
            <w:szCs w:val="21"/>
          </w:rPr>
          <w:t>https://www.portaltransparencia.gov.br/sancoes/cnep</w:t>
        </w:r>
      </w:hyperlink>
      <w:r>
        <w:rPr>
          <w:rFonts w:eastAsia="Arial" w:cs="Arial" w:ascii="Calibri" w:hAnsi="Calibri"/>
          <w:i w:val="false"/>
          <w:iCs w:val="false"/>
          <w:sz w:val="21"/>
          <w:szCs w:val="21"/>
        </w:rPr>
        <w:t>)</w:t>
      </w:r>
    </w:p>
    <w:p>
      <w:pPr>
        <w:pStyle w:val="Nivel2"/>
        <w:numPr>
          <w:ilvl w:val="1"/>
          <w:numId w:val="233"/>
        </w:numPr>
        <w:ind w:left="0" w:hanging="432"/>
        <w:rPr>
          <w:rFonts w:ascii="Calibri" w:hAnsi="Calibri"/>
          <w:sz w:val="21"/>
          <w:szCs w:val="21"/>
        </w:rPr>
      </w:pPr>
      <w:r>
        <w:rPr>
          <w:rFonts w:ascii="Calibri" w:hAnsi="Calibri"/>
          <w:i w:val="false"/>
          <w:iCs w:val="false"/>
          <w:color w:val="auto"/>
          <w:sz w:val="21"/>
          <w:szCs w:val="21"/>
        </w:rPr>
        <w:t>A consulta aos cadastros será realizada em nome da empresa interessada e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pPr>
        <w:pStyle w:val="Nivel2"/>
        <w:numPr>
          <w:ilvl w:val="1"/>
          <w:numId w:val="234"/>
        </w:numPr>
        <w:ind w:left="0" w:hanging="432"/>
        <w:rPr>
          <w:rFonts w:ascii="Calibri" w:hAnsi="Calibri"/>
          <w:sz w:val="21"/>
          <w:szCs w:val="21"/>
        </w:rPr>
      </w:pPr>
      <w:r>
        <w:rPr>
          <w:rFonts w:ascii="Calibri" w:hAnsi="Calibri"/>
          <w:i w:val="false"/>
          <w:iCs w:val="false"/>
          <w:color w:val="auto"/>
          <w:sz w:val="21"/>
          <w:szCs w:val="21"/>
        </w:rPr>
        <w:t>Caso conste na Consulta de Situação do interessado a existência de Ocorrências Impeditivas Indiretas, o gestor diligenciará para verificar se houve fraude por parte das empresas apontadas no Relatório de Ocorrências Impeditivas Indiretas.</w:t>
      </w:r>
    </w:p>
    <w:p>
      <w:pPr>
        <w:pStyle w:val="Nivel2"/>
        <w:numPr>
          <w:ilvl w:val="1"/>
          <w:numId w:val="235"/>
        </w:numPr>
        <w:ind w:left="0" w:hanging="432"/>
        <w:rPr>
          <w:rFonts w:ascii="Calibri" w:hAnsi="Calibri"/>
          <w:sz w:val="21"/>
          <w:szCs w:val="21"/>
        </w:rPr>
      </w:pPr>
      <w:r>
        <w:rPr>
          <w:rFonts w:ascii="Calibri" w:hAnsi="Calibri"/>
          <w:i w:val="false"/>
          <w:iCs w:val="false"/>
          <w:color w:val="auto"/>
          <w:sz w:val="21"/>
          <w:szCs w:val="21"/>
        </w:rPr>
        <w:t>A tentativa de burla será verificada por meio dos vínculos societários, linhas de fornecimento similares, dentre outros.</w:t>
      </w:r>
    </w:p>
    <w:p>
      <w:pPr>
        <w:pStyle w:val="Nivel2"/>
        <w:numPr>
          <w:ilvl w:val="1"/>
          <w:numId w:val="236"/>
        </w:numPr>
        <w:ind w:left="0" w:hanging="432"/>
        <w:rPr>
          <w:rFonts w:ascii="Calibri" w:hAnsi="Calibri"/>
          <w:sz w:val="21"/>
          <w:szCs w:val="21"/>
        </w:rPr>
      </w:pPr>
      <w:r>
        <w:rPr>
          <w:rFonts w:ascii="Calibri" w:hAnsi="Calibri"/>
          <w:i w:val="false"/>
          <w:iCs w:val="false"/>
          <w:color w:val="auto"/>
          <w:sz w:val="21"/>
          <w:szCs w:val="21"/>
        </w:rPr>
        <w:t>O interessado será convocado para manifestação previamente a uma eventual negativa de contratação.</w:t>
      </w:r>
    </w:p>
    <w:p>
      <w:pPr>
        <w:pStyle w:val="Nivel2"/>
        <w:numPr>
          <w:ilvl w:val="1"/>
          <w:numId w:val="237"/>
        </w:numPr>
        <w:ind w:left="0" w:hanging="432"/>
        <w:rPr>
          <w:rFonts w:ascii="Calibri" w:hAnsi="Calibri"/>
          <w:sz w:val="21"/>
          <w:szCs w:val="21"/>
        </w:rPr>
      </w:pPr>
      <w:r>
        <w:rPr>
          <w:rFonts w:ascii="Calibri" w:hAnsi="Calibri"/>
          <w:i w:val="false"/>
          <w:iCs w:val="false"/>
          <w:color w:val="auto"/>
          <w:sz w:val="21"/>
          <w:szCs w:val="21"/>
        </w:rPr>
        <w:t>Caso atendidas as condições para contratação, a habilitação do interessado será verificada por meio do SICAF, nos documentos por ele abrangidos.</w:t>
      </w:r>
    </w:p>
    <w:p>
      <w:pPr>
        <w:pStyle w:val="Nivel2"/>
        <w:numPr>
          <w:ilvl w:val="1"/>
          <w:numId w:val="238"/>
        </w:numPr>
        <w:ind w:left="0" w:hanging="432"/>
        <w:rPr>
          <w:rFonts w:ascii="Calibri" w:hAnsi="Calibri"/>
          <w:sz w:val="21"/>
          <w:szCs w:val="21"/>
        </w:rPr>
      </w:pPr>
      <w:r>
        <w:rPr>
          <w:rFonts w:ascii="Calibri" w:hAnsi="Calibri"/>
          <w:i w:val="false"/>
          <w:iCs w:val="false"/>
          <w:color w:val="auto"/>
          <w:sz w:val="21"/>
          <w:szCs w:val="21"/>
        </w:rPr>
        <w:t>É dever do interessado manter atualizada a respectiva documentação constante do SICAF, ou encaminhar, quando solicitado pela Administração, a respectiva documentação atualizada.</w:t>
      </w:r>
    </w:p>
    <w:p>
      <w:pPr>
        <w:pStyle w:val="Nivel2"/>
        <w:numPr>
          <w:ilvl w:val="1"/>
          <w:numId w:val="239"/>
        </w:numPr>
        <w:ind w:left="0" w:hanging="432"/>
        <w:rPr>
          <w:rFonts w:ascii="Calibri" w:hAnsi="Calibri"/>
          <w:sz w:val="21"/>
          <w:szCs w:val="21"/>
        </w:rPr>
      </w:pPr>
      <w:r>
        <w:rPr>
          <w:rFonts w:ascii="Calibri" w:hAnsi="Calibri"/>
          <w:i w:val="false"/>
          <w:iCs w:val="false"/>
          <w:color w:val="auto"/>
          <w:sz w:val="21"/>
          <w:szCs w:val="21"/>
        </w:rPr>
        <w:t>Não serão aceitos documentos de habilitação com indicação de CNPJ/CPF diferentes, salvo aqueles legalmente permitidos.</w:t>
      </w:r>
    </w:p>
    <w:p>
      <w:pPr>
        <w:pStyle w:val="Nivel2"/>
        <w:numPr>
          <w:ilvl w:val="1"/>
          <w:numId w:val="240"/>
        </w:numPr>
        <w:ind w:left="0" w:hanging="432"/>
        <w:rPr>
          <w:rFonts w:ascii="Calibri" w:hAnsi="Calibri"/>
          <w:sz w:val="21"/>
          <w:szCs w:val="21"/>
        </w:rPr>
      </w:pPr>
      <w:r>
        <w:rPr>
          <w:rFonts w:ascii="Calibri" w:hAnsi="Calibri"/>
          <w:i w:val="false"/>
          <w:iCs w:val="false"/>
          <w:color w:val="auto"/>
          <w:sz w:val="21"/>
          <w:szCs w:val="21"/>
        </w:rPr>
        <w:t>Se o interessado for a matriz, todos os documentos deverão estar em nome da matriz, e se o fornecedor for a filial, todos os documentos deverão estar em nome da filial, exceto para atestados de capacidade técnica, caso exigidos, e no caso daqueles documentos que, pela própria natureza, comprovadamente, forem emitidos somente em nome da matriz.</w:t>
      </w:r>
    </w:p>
    <w:p>
      <w:pPr>
        <w:pStyle w:val="Nivel2"/>
        <w:numPr>
          <w:ilvl w:val="1"/>
          <w:numId w:val="241"/>
        </w:numPr>
        <w:ind w:left="0" w:hanging="432"/>
        <w:rPr>
          <w:rFonts w:ascii="Calibri" w:hAnsi="Calibri"/>
          <w:sz w:val="21"/>
          <w:szCs w:val="21"/>
        </w:rPr>
      </w:pPr>
      <w:r>
        <w:rPr>
          <w:rFonts w:ascii="Calibri" w:hAnsi="Calibri"/>
          <w:i w:val="false"/>
          <w:iCs w:val="false"/>
          <w:color w:val="auto"/>
          <w:sz w:val="21"/>
          <w:szCs w:val="21"/>
        </w:rPr>
        <w:t>Serão aceitos registros de CNPJ de fornecedor matriz e filial com diferenças de números de documentos pertinentes ao CND e ao CRF/FGTS, quando for comprovada a centralização do recolhimento dessas contribuições.</w:t>
      </w:r>
    </w:p>
    <w:p>
      <w:pPr>
        <w:pStyle w:val="Nivel2"/>
        <w:numPr>
          <w:ilvl w:val="1"/>
          <w:numId w:val="242"/>
        </w:numPr>
        <w:ind w:left="0" w:hanging="0"/>
        <w:rPr>
          <w:rFonts w:ascii="Calibri" w:hAnsi="Calibri"/>
          <w:sz w:val="21"/>
          <w:szCs w:val="21"/>
        </w:rPr>
      </w:pPr>
      <w:r>
        <w:rPr>
          <w:rFonts w:ascii="Calibri" w:hAnsi="Calibri"/>
          <w:i w:val="false"/>
          <w:iCs w:val="false"/>
          <w:color w:val="auto"/>
          <w:sz w:val="21"/>
          <w:szCs w:val="21"/>
        </w:rPr>
        <w:t xml:space="preserve">Para fins de habilitação, deverá o </w:t>
      </w:r>
      <w:r>
        <w:rPr>
          <w:rFonts w:ascii="Calibri" w:hAnsi="Calibri"/>
          <w:i w:val="false"/>
          <w:iCs w:val="false"/>
          <w:color w:val="000000"/>
          <w:sz w:val="21"/>
          <w:szCs w:val="21"/>
          <w:shd w:fill="auto" w:val="clear"/>
        </w:rPr>
        <w:t>interessado</w:t>
      </w:r>
      <w:r>
        <w:rPr>
          <w:rFonts w:ascii="Calibri" w:hAnsi="Calibri"/>
          <w:i w:val="false"/>
          <w:iCs w:val="false"/>
          <w:color w:val="auto"/>
          <w:sz w:val="21"/>
          <w:szCs w:val="21"/>
        </w:rPr>
        <w:t xml:space="preserve"> comprovar os seguintes requisito</w:t>
      </w:r>
      <w:r>
        <w:rPr>
          <w:rFonts w:ascii="Calibri" w:hAnsi="Calibri"/>
          <w:i w:val="false"/>
          <w:iCs w:val="false"/>
          <w:color w:val="000000"/>
          <w:sz w:val="21"/>
          <w:szCs w:val="21"/>
          <w:shd w:fill="auto" w:val="clear"/>
        </w:rPr>
        <w:t xml:space="preserve">s, </w:t>
      </w:r>
      <w:r>
        <w:rPr>
          <w:rFonts w:ascii="Calibri" w:hAnsi="Calibri"/>
          <w:i w:val="false"/>
          <w:iCs w:val="false"/>
          <w:sz w:val="21"/>
          <w:szCs w:val="21"/>
          <w:shd w:fill="auto" w:val="clear"/>
        </w:rPr>
        <w:t>que serão exigidos conforme sua natureza jurídica:</w:t>
      </w:r>
    </w:p>
    <w:p>
      <w:pPr>
        <w:pStyle w:val="Nvel1SemNumPreto"/>
        <w:rPr>
          <w:rFonts w:ascii="Calibri" w:hAnsi="Calibri"/>
          <w:sz w:val="21"/>
          <w:szCs w:val="21"/>
        </w:rPr>
      </w:pPr>
      <w:commentRangeStart w:id="34"/>
      <w:r>
        <w:rPr>
          <w:rFonts w:ascii="Calibri" w:hAnsi="Calibri"/>
          <w:sz w:val="21"/>
          <w:szCs w:val="21"/>
        </w:rPr>
        <w:t>Habilitação jurídica</w:t>
      </w:r>
      <w:commentRangeEnd w:id="34"/>
      <w:r>
        <w:commentReference w:id="34"/>
      </w:r>
      <w:r>
        <w:rPr>
          <w:rFonts w:ascii="Calibri" w:hAnsi="Calibri"/>
          <w:sz w:val="21"/>
          <w:szCs w:val="21"/>
        </w:rPr>
      </w:r>
    </w:p>
    <w:p>
      <w:pPr>
        <w:pStyle w:val="Nivel2"/>
        <w:numPr>
          <w:ilvl w:val="1"/>
          <w:numId w:val="243"/>
        </w:numPr>
        <w:ind w:left="0" w:hanging="0"/>
        <w:rPr>
          <w:rFonts w:ascii="Calibri" w:hAnsi="Calibri"/>
          <w:sz w:val="21"/>
          <w:szCs w:val="21"/>
        </w:rPr>
      </w:pPr>
      <w:bookmarkStart w:id="1" w:name="_Ref115800561"/>
      <w:commentRangeStart w:id="35"/>
      <w:r>
        <w:rPr>
          <w:rFonts w:ascii="Calibri" w:hAnsi="Calibri"/>
          <w:b/>
          <w:bCs/>
          <w:sz w:val="21"/>
          <w:szCs w:val="21"/>
        </w:rPr>
        <w:t>Pessoa física:</w:t>
      </w:r>
      <w:r>
        <w:rPr>
          <w:rFonts w:ascii="Calibri" w:hAnsi="Calibri"/>
          <w:sz w:val="21"/>
          <w:szCs w:val="21"/>
        </w:rPr>
        <w:t xml:space="preserve"> cédula de identidade (RG) ou documento equivalente que, por força de lei, tenha validade para fins de identificação em todo o território nacional;</w:t>
      </w:r>
      <w:bookmarkEnd w:id="1"/>
      <w:commentRangeEnd w:id="35"/>
      <w:r>
        <w:commentReference w:id="35"/>
      </w:r>
      <w:r>
        <w:rPr>
          <w:rFonts w:ascii="Calibri" w:hAnsi="Calibri"/>
          <w:sz w:val="21"/>
          <w:szCs w:val="21"/>
        </w:rPr>
      </w:r>
    </w:p>
    <w:p>
      <w:pPr>
        <w:pStyle w:val="Nivel2"/>
        <w:numPr>
          <w:ilvl w:val="1"/>
          <w:numId w:val="244"/>
        </w:numPr>
        <w:ind w:left="0" w:hanging="0"/>
        <w:rPr>
          <w:rFonts w:ascii="Calibri" w:hAnsi="Calibri"/>
          <w:sz w:val="21"/>
          <w:szCs w:val="21"/>
        </w:rPr>
      </w:pPr>
      <w:r>
        <w:rPr>
          <w:rFonts w:ascii="Calibri" w:hAnsi="Calibri"/>
          <w:b/>
          <w:bCs/>
          <w:sz w:val="21"/>
          <w:szCs w:val="21"/>
        </w:rPr>
        <w:t>Empresário individual:</w:t>
      </w:r>
      <w:r>
        <w:rPr>
          <w:rFonts w:ascii="Calibri" w:hAnsi="Calibri"/>
          <w:sz w:val="21"/>
          <w:szCs w:val="21"/>
        </w:rPr>
        <w:t xml:space="preserve"> inscrição no Registro Público de Empresas Mercantis, a cargo da Junta Comercial da respectiva sede; </w:t>
      </w:r>
    </w:p>
    <w:p>
      <w:pPr>
        <w:pStyle w:val="Nivel2"/>
        <w:numPr>
          <w:ilvl w:val="1"/>
          <w:numId w:val="245"/>
        </w:numPr>
        <w:ind w:left="0" w:hanging="0"/>
        <w:rPr/>
      </w:pPr>
      <w:r>
        <w:rPr>
          <w:rFonts w:ascii="Calibri" w:hAnsi="Calibri"/>
          <w:b/>
          <w:bCs/>
          <w:sz w:val="21"/>
          <w:szCs w:val="21"/>
        </w:rPr>
        <w:t>Microempreendedor Individual - MEI:</w:t>
      </w:r>
      <w:r>
        <w:rPr>
          <w:rFonts w:ascii="Calibri" w:hAnsi="Calibri"/>
          <w:sz w:val="21"/>
          <w:szCs w:val="21"/>
        </w:rPr>
        <w:t xml:space="preserve"> Certificado da Condição de Microempreendedor Individual - CCMEI, cuja aceitação ficará condicionada à verificação da autenticidade no sítio </w:t>
      </w:r>
      <w:hyperlink r:id="rId9">
        <w:r>
          <w:rPr>
            <w:rStyle w:val="LinkdaInternet"/>
            <w:rFonts w:ascii="Calibri" w:hAnsi="Calibri"/>
            <w:sz w:val="21"/>
            <w:szCs w:val="21"/>
          </w:rPr>
          <w:t>https://www.gov.br/empresas-e-negocios/pt-br/empreendedor</w:t>
        </w:r>
      </w:hyperlink>
      <w:r>
        <w:rPr>
          <w:rFonts w:ascii="Calibri" w:hAnsi="Calibri"/>
          <w:sz w:val="21"/>
          <w:szCs w:val="21"/>
        </w:rPr>
        <w:t xml:space="preserve">; </w:t>
      </w:r>
    </w:p>
    <w:p>
      <w:pPr>
        <w:pStyle w:val="Nivel2"/>
        <w:numPr>
          <w:ilvl w:val="1"/>
          <w:numId w:val="246"/>
        </w:numPr>
        <w:ind w:left="0" w:hanging="0"/>
        <w:rPr>
          <w:rFonts w:ascii="Calibri" w:hAnsi="Calibri"/>
          <w:sz w:val="21"/>
          <w:szCs w:val="21"/>
        </w:rPr>
      </w:pPr>
      <w:commentRangeStart w:id="36"/>
      <w:r>
        <w:rPr>
          <w:rFonts w:ascii="Calibri" w:hAnsi="Calibri"/>
          <w:b/>
          <w:bCs/>
          <w:sz w:val="21"/>
          <w:szCs w:val="21"/>
        </w:rPr>
        <w:t>Sociedade empresária, sociedade limitada unipessoal – SLU ou sociedade identificada como empresa individual de responsabilidade limitada - EIRELI</w:t>
      </w:r>
      <w:r>
        <w:rPr>
          <w:rFonts w:ascii="Calibri" w:hAnsi="Calibri"/>
          <w:sz w:val="21"/>
          <w:szCs w:val="21"/>
        </w:rPr>
        <w:t>: inscrição do ato constitutivo, estatuto ou contrato social no Registro Público de Empresas Mercantis, a cargo da Junta Comercial da respectiva sede, acompanhada de documento comprobatório de seus administradores;</w:t>
      </w:r>
      <w:commentRangeEnd w:id="36"/>
      <w:r>
        <w:commentReference w:id="36"/>
      </w:r>
      <w:r>
        <w:rPr>
          <w:rFonts w:ascii="Calibri" w:hAnsi="Calibri"/>
          <w:sz w:val="21"/>
          <w:szCs w:val="21"/>
        </w:rPr>
      </w:r>
    </w:p>
    <w:p>
      <w:pPr>
        <w:pStyle w:val="Nivel2"/>
        <w:numPr>
          <w:ilvl w:val="1"/>
          <w:numId w:val="247"/>
        </w:numPr>
        <w:ind w:left="0" w:hanging="0"/>
        <w:rPr/>
      </w:pPr>
      <w:r>
        <w:rPr>
          <w:rFonts w:ascii="Calibri" w:hAnsi="Calibri"/>
          <w:b/>
          <w:bCs/>
          <w:sz w:val="21"/>
          <w:szCs w:val="21"/>
        </w:rPr>
        <w:t>Sociedade empresária estrangeira:</w:t>
      </w:r>
      <w:r>
        <w:rPr>
          <w:rFonts w:ascii="Calibri" w:hAnsi="Calibri"/>
          <w:sz w:val="21"/>
          <w:szCs w:val="21"/>
        </w:rPr>
        <w:t xml:space="preserve"> portaria de autorização de funcionamento no Brasil, publicada no Diário Oficial da União e arquivada na Junta Comercial da unidade federativa onde se localizar a filial, agência, sucursal ou estabelecimento, a qual será considerada como sua sede, conforme Instrução </w:t>
      </w:r>
      <w:hyperlink r:id="rId10">
        <w:r>
          <w:rPr>
            <w:rStyle w:val="LinkdaInternet"/>
            <w:rFonts w:ascii="Calibri" w:hAnsi="Calibri"/>
            <w:sz w:val="21"/>
            <w:szCs w:val="21"/>
          </w:rPr>
          <w:t>Normativa DREI/ME n.º 77, de 18 de março de 2020</w:t>
        </w:r>
      </w:hyperlink>
      <w:r>
        <w:rPr>
          <w:rFonts w:ascii="Calibri" w:hAnsi="Calibri"/>
          <w:sz w:val="21"/>
          <w:szCs w:val="21"/>
        </w:rPr>
        <w:t>.</w:t>
      </w:r>
    </w:p>
    <w:p>
      <w:pPr>
        <w:pStyle w:val="Nivel2"/>
        <w:numPr>
          <w:ilvl w:val="1"/>
          <w:numId w:val="248"/>
        </w:numPr>
        <w:ind w:left="0" w:hanging="0"/>
        <w:rPr>
          <w:rFonts w:ascii="Calibri" w:hAnsi="Calibri"/>
          <w:sz w:val="21"/>
          <w:szCs w:val="21"/>
        </w:rPr>
      </w:pPr>
      <w:r>
        <w:rPr>
          <w:rFonts w:ascii="Calibri" w:hAnsi="Calibri"/>
          <w:b/>
          <w:bCs/>
          <w:sz w:val="21"/>
          <w:szCs w:val="21"/>
        </w:rPr>
        <w:t xml:space="preserve">Sociedade simples: </w:t>
      </w:r>
      <w:r>
        <w:rPr>
          <w:rFonts w:ascii="Calibri" w:hAnsi="Calibri"/>
          <w:sz w:val="21"/>
          <w:szCs w:val="21"/>
        </w:rPr>
        <w:t>inscrição do ato constitutivo no Registro Civil de Pessoas Jurídicas do local de sua sede, acompanhada de documento comprobatório de seus administradores;</w:t>
      </w:r>
    </w:p>
    <w:p>
      <w:pPr>
        <w:pStyle w:val="Nivel2"/>
        <w:numPr>
          <w:ilvl w:val="1"/>
          <w:numId w:val="249"/>
        </w:numPr>
        <w:ind w:left="0" w:hanging="0"/>
        <w:rPr>
          <w:rFonts w:ascii="Calibri" w:hAnsi="Calibri"/>
          <w:sz w:val="21"/>
          <w:szCs w:val="21"/>
        </w:rPr>
      </w:pPr>
      <w:r>
        <w:rPr>
          <w:rFonts w:ascii="Calibri" w:hAnsi="Calibri"/>
          <w:b/>
          <w:bCs/>
          <w:sz w:val="21"/>
          <w:szCs w:val="21"/>
        </w:rPr>
        <w:t>Filial, sucursal ou agência de sociedade simples ou empresária:</w:t>
      </w:r>
      <w:r>
        <w:rPr>
          <w:rFonts w:ascii="Calibri" w:hAnsi="Calibri"/>
          <w:sz w:val="21"/>
          <w:szCs w:val="21"/>
        </w:rPr>
        <w:t xml:space="preserve"> inscrição do ato constitutivo da filial, sucursal ou agência da sociedade simples ou empresária, respectivamente, no Registro Civil das Pessoas Jurídicas ou no Registro Público de Empresas </w:t>
      </w:r>
      <w:bookmarkStart w:id="2" w:name="_Int_ySfCXwr4"/>
      <w:r>
        <w:rPr>
          <w:rFonts w:ascii="Calibri" w:hAnsi="Calibri"/>
          <w:sz w:val="21"/>
          <w:szCs w:val="21"/>
        </w:rPr>
        <w:t>Mercantis onde</w:t>
      </w:r>
      <w:bookmarkEnd w:id="2"/>
      <w:r>
        <w:rPr>
          <w:rFonts w:ascii="Calibri" w:hAnsi="Calibri"/>
          <w:sz w:val="21"/>
          <w:szCs w:val="21"/>
        </w:rPr>
        <w:t xml:space="preserve"> opera, com averbação no Registro onde tem sede a matriz</w:t>
      </w:r>
    </w:p>
    <w:p>
      <w:pPr>
        <w:pStyle w:val="Nivel2"/>
        <w:numPr>
          <w:ilvl w:val="1"/>
          <w:numId w:val="250"/>
        </w:numPr>
        <w:ind w:left="0" w:hanging="0"/>
        <w:rPr/>
      </w:pPr>
      <w:r>
        <w:rPr>
          <w:rFonts w:ascii="Calibri" w:hAnsi="Calibri"/>
          <w:b/>
          <w:bCs/>
          <w:sz w:val="21"/>
          <w:szCs w:val="21"/>
        </w:rPr>
        <w:t>Sociedade cooperativa:</w:t>
      </w:r>
      <w:r>
        <w:rPr>
          <w:rFonts w:ascii="Calibri" w:hAnsi="Calibri"/>
          <w:sz w:val="21"/>
          <w:szCs w:val="21"/>
        </w:rPr>
        <w:t xml:space="preserve"> ata de fundação e estatuto social, com a ata da assembleia que o aprovou, devidamente arquivado na Junta Comercial ou inscrito no Registro Civil das Pessoas Jurídicas da respectiva sede, além do registro de que trata o </w:t>
      </w:r>
      <w:r>
        <w:fldChar w:fldCharType="begin"/>
      </w:r>
      <w:r>
        <w:rPr>
          <w:rStyle w:val="LinkdaInternet"/>
          <w:sz w:val="21"/>
          <w:szCs w:val="21"/>
          <w:rFonts w:ascii="Calibri" w:hAnsi="Calibri"/>
        </w:rPr>
        <w:instrText> HYPERLINK "https://www.planalto.gov.br/ccivil_03/leis/l5764.htm" \l "art107"</w:instrText>
      </w:r>
      <w:r>
        <w:rPr>
          <w:rStyle w:val="LinkdaInternet"/>
          <w:sz w:val="21"/>
          <w:szCs w:val="21"/>
          <w:rFonts w:ascii="Calibri" w:hAnsi="Calibri"/>
        </w:rPr>
        <w:fldChar w:fldCharType="separate"/>
      </w:r>
      <w:r>
        <w:rPr>
          <w:rStyle w:val="LinkdaInternet"/>
          <w:rFonts w:ascii="Calibri" w:hAnsi="Calibri"/>
          <w:sz w:val="21"/>
          <w:szCs w:val="21"/>
        </w:rPr>
        <w:t>art. 107 da Lei nº 5.764, de 16 de dezembro 1971</w:t>
      </w:r>
      <w:r>
        <w:rPr>
          <w:rStyle w:val="LinkdaInternet"/>
          <w:sz w:val="21"/>
          <w:szCs w:val="21"/>
          <w:rFonts w:ascii="Calibri" w:hAnsi="Calibri"/>
        </w:rPr>
        <w:fldChar w:fldCharType="end"/>
      </w:r>
      <w:r>
        <w:rPr>
          <w:rFonts w:ascii="Calibri" w:hAnsi="Calibri"/>
          <w:sz w:val="21"/>
          <w:szCs w:val="21"/>
        </w:rPr>
        <w:t>.</w:t>
      </w:r>
    </w:p>
    <w:p>
      <w:pPr>
        <w:pStyle w:val="Nivel2"/>
        <w:numPr>
          <w:ilvl w:val="1"/>
          <w:numId w:val="251"/>
        </w:numPr>
        <w:ind w:left="0" w:hanging="0"/>
        <w:rPr/>
      </w:pPr>
      <w:r>
        <w:rPr>
          <w:rFonts w:ascii="Calibri" w:hAnsi="Calibri"/>
          <w:b/>
          <w:bCs/>
          <w:sz w:val="21"/>
          <w:szCs w:val="21"/>
        </w:rPr>
        <w:t>Agricultor familiar:</w:t>
      </w:r>
      <w:r>
        <w:rPr>
          <w:rFonts w:ascii="Calibri" w:hAnsi="Calibri"/>
          <w:sz w:val="21"/>
          <w:szCs w:val="21"/>
        </w:rPr>
        <w:t xml:space="preserve"> Declaração de Aptidão ao Pronaf – DAP ou DAP-P válida, ou, ainda, outros documentos definidos pela Secretaria Especial de Agricultura Familiar e do Desenvolvimento Agrário, nos termos do</w:t>
      </w:r>
      <w:r>
        <w:fldChar w:fldCharType="begin"/>
      </w:r>
      <w:r>
        <w:rPr>
          <w:rStyle w:val="LinkdaInternet"/>
          <w:sz w:val="21"/>
          <w:szCs w:val="21"/>
          <w:rFonts w:ascii="Calibri" w:hAnsi="Calibri"/>
        </w:rPr>
        <w:instrText> HYPERLINK "https://www.planalto.gov.br/ccivil_03/_ato2019-2022/2021/decreto/d10880.htm" \l "art4§2"</w:instrText>
      </w:r>
      <w:r>
        <w:rPr>
          <w:rStyle w:val="LinkdaInternet"/>
          <w:sz w:val="21"/>
          <w:szCs w:val="21"/>
          <w:rFonts w:ascii="Calibri" w:hAnsi="Calibri"/>
        </w:rPr>
        <w:fldChar w:fldCharType="separate"/>
      </w:r>
      <w:r>
        <w:rPr>
          <w:rStyle w:val="LinkdaInternet"/>
          <w:rFonts w:ascii="Calibri" w:hAnsi="Calibri"/>
          <w:sz w:val="21"/>
          <w:szCs w:val="21"/>
        </w:rPr>
        <w:t xml:space="preserve"> art. 4º, §2º do Decreto nº 10.880, de 2 de dezembro de 2021</w:t>
      </w:r>
      <w:r>
        <w:rPr>
          <w:rStyle w:val="LinkdaInternet"/>
          <w:sz w:val="21"/>
          <w:szCs w:val="21"/>
          <w:rFonts w:ascii="Calibri" w:hAnsi="Calibri"/>
        </w:rPr>
        <w:fldChar w:fldCharType="end"/>
      </w:r>
      <w:r>
        <w:rPr>
          <w:rFonts w:ascii="Calibri" w:hAnsi="Calibri"/>
          <w:sz w:val="21"/>
          <w:szCs w:val="21"/>
        </w:rPr>
        <w:t>.</w:t>
      </w:r>
    </w:p>
    <w:p>
      <w:pPr>
        <w:pStyle w:val="Nivel2"/>
        <w:numPr>
          <w:ilvl w:val="1"/>
          <w:numId w:val="252"/>
        </w:numPr>
        <w:ind w:left="0" w:hanging="0"/>
        <w:rPr/>
      </w:pPr>
      <w:r>
        <w:rPr>
          <w:rFonts w:ascii="Calibri" w:hAnsi="Calibri"/>
          <w:b/>
          <w:bCs/>
          <w:sz w:val="21"/>
          <w:szCs w:val="21"/>
        </w:rPr>
        <w:t>Produtor Rural:</w:t>
      </w:r>
      <w:r>
        <w:rPr>
          <w:rFonts w:ascii="Calibri" w:hAnsi="Calibri"/>
          <w:sz w:val="21"/>
          <w:szCs w:val="21"/>
        </w:rPr>
        <w:t xml:space="preserve"> matrícula no Cadastro Específico do INSS – CEI, que comprove a qualificação como produtor rural pessoa física, nos termos da </w:t>
      </w:r>
      <w:hyperlink r:id="rId11">
        <w:r>
          <w:rPr>
            <w:rStyle w:val="LinkdaInternet"/>
            <w:rFonts w:ascii="Calibri" w:hAnsi="Calibri"/>
            <w:sz w:val="21"/>
            <w:szCs w:val="21"/>
          </w:rPr>
          <w:t>Instrução Normativa RFB n. 971, de 13 de novembro de 2009</w:t>
        </w:r>
      </w:hyperlink>
      <w:r>
        <w:rPr>
          <w:rFonts w:ascii="Calibri" w:hAnsi="Calibri"/>
          <w:sz w:val="21"/>
          <w:szCs w:val="21"/>
        </w:rPr>
        <w:t xml:space="preserve"> (arts. 17 a 19 e 165).</w:t>
      </w:r>
    </w:p>
    <w:p>
      <w:pPr>
        <w:pStyle w:val="Nivel2"/>
        <w:numPr>
          <w:ilvl w:val="1"/>
          <w:numId w:val="253"/>
        </w:numPr>
        <w:ind w:left="0" w:hanging="0"/>
        <w:rPr>
          <w:rFonts w:ascii="Calibri" w:hAnsi="Calibri"/>
          <w:sz w:val="21"/>
          <w:szCs w:val="21"/>
        </w:rPr>
      </w:pPr>
      <w:r>
        <w:rPr>
          <w:rFonts w:ascii="Calibri" w:hAnsi="Calibri"/>
          <w:sz w:val="21"/>
          <w:szCs w:val="21"/>
        </w:rPr>
        <w:t>Os documentos apresentados deverão estar acompanhados de todas as alterações ou da consolidação respectiva.</w:t>
      </w:r>
    </w:p>
    <w:p>
      <w:pPr>
        <w:pStyle w:val="Nvel1SemNumPreto"/>
        <w:rPr>
          <w:rFonts w:ascii="Calibri" w:hAnsi="Calibri"/>
          <w:sz w:val="21"/>
          <w:szCs w:val="21"/>
        </w:rPr>
      </w:pPr>
      <w:r>
        <w:rPr>
          <w:rFonts w:ascii="Calibri" w:hAnsi="Calibri"/>
          <w:sz w:val="21"/>
          <w:szCs w:val="21"/>
        </w:rPr>
        <w:t>Habilitação fiscal, social e trabalhista</w:t>
      </w:r>
    </w:p>
    <w:p>
      <w:pPr>
        <w:pStyle w:val="Nivel2"/>
        <w:numPr>
          <w:ilvl w:val="1"/>
          <w:numId w:val="254"/>
        </w:numPr>
        <w:ind w:left="0" w:hanging="0"/>
        <w:rPr>
          <w:rFonts w:ascii="Calibri" w:hAnsi="Calibri"/>
          <w:sz w:val="21"/>
          <w:szCs w:val="21"/>
        </w:rPr>
      </w:pPr>
      <w:commentRangeStart w:id="37"/>
      <w:r>
        <w:rPr>
          <w:rFonts w:ascii="Calibri" w:hAnsi="Calibri"/>
          <w:sz w:val="21"/>
          <w:szCs w:val="21"/>
        </w:rPr>
        <w:t>Prova de inscrição no Cadastro Nacional de Pessoas Jurídicas ou no Cadastro de Pessoas Físicas, conforme o caso;</w:t>
      </w:r>
    </w:p>
    <w:p>
      <w:pPr>
        <w:pStyle w:val="Nivel2"/>
        <w:numPr>
          <w:ilvl w:val="1"/>
          <w:numId w:val="255"/>
        </w:numPr>
        <w:ind w:left="0" w:hanging="0"/>
        <w:rPr>
          <w:rFonts w:ascii="Calibri" w:hAnsi="Calibri"/>
          <w:sz w:val="21"/>
          <w:szCs w:val="21"/>
        </w:rPr>
      </w:pPr>
      <w:r>
        <w:rPr>
          <w:rFonts w:ascii="Calibri" w:hAnsi="Calibri"/>
          <w:sz w:val="21"/>
          <w:szCs w:val="21"/>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 de outubro de 2014, do Secretário da Receita Federal do Brasil e da Procuradora-Geral da Fazenda Nacional.</w:t>
      </w:r>
    </w:p>
    <w:p>
      <w:pPr>
        <w:pStyle w:val="Nivel2"/>
        <w:numPr>
          <w:ilvl w:val="1"/>
          <w:numId w:val="256"/>
        </w:numPr>
        <w:ind w:left="0" w:hanging="0"/>
        <w:rPr>
          <w:rFonts w:ascii="Calibri" w:hAnsi="Calibri"/>
          <w:sz w:val="21"/>
          <w:szCs w:val="21"/>
        </w:rPr>
      </w:pPr>
      <w:r>
        <w:rPr>
          <w:rFonts w:ascii="Calibri" w:hAnsi="Calibri"/>
          <w:sz w:val="21"/>
          <w:szCs w:val="21"/>
        </w:rPr>
        <w:t>Prova de regularidade com o Fundo de Garantia do Tempo de Serviço (FGTS);</w:t>
      </w:r>
    </w:p>
    <w:p>
      <w:pPr>
        <w:pStyle w:val="Nivel2"/>
        <w:numPr>
          <w:ilvl w:val="1"/>
          <w:numId w:val="257"/>
        </w:numPr>
        <w:ind w:left="0" w:hanging="432"/>
        <w:rPr>
          <w:rFonts w:ascii="Calibri" w:hAnsi="Calibri"/>
          <w:sz w:val="21"/>
          <w:szCs w:val="21"/>
        </w:rPr>
      </w:pPr>
      <w:r>
        <w:rPr>
          <w:rFonts w:ascii="Calibri" w:hAnsi="Calibri"/>
          <w:sz w:val="21"/>
          <w:szCs w:val="21"/>
        </w:rPr>
        <w:t>declaração de que não emprega menor de 18 anos em trabalho noturno, perigoso ou insalubre e não emprega menor de 16 anos, salvo menor, a partir de 14 anos, na condição de aprendiz, nos termos do artigo 7°, XXXIII, da Constituição;</w:t>
      </w:r>
    </w:p>
    <w:p>
      <w:pPr>
        <w:pStyle w:val="Nivel2"/>
        <w:numPr>
          <w:ilvl w:val="1"/>
          <w:numId w:val="258"/>
        </w:numPr>
        <w:ind w:left="0" w:hanging="0"/>
        <w:rPr>
          <w:rFonts w:ascii="Calibri" w:hAnsi="Calibri"/>
          <w:sz w:val="21"/>
          <w:szCs w:val="21"/>
        </w:rPr>
      </w:pPr>
      <w:r>
        <w:rPr>
          <w:rFonts w:ascii="Calibri" w:hAnsi="Calibri"/>
          <w:sz w:val="21"/>
          <w:szCs w:val="21"/>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pPr>
        <w:pStyle w:val="Nivel2"/>
        <w:numPr>
          <w:ilvl w:val="1"/>
          <w:numId w:val="259"/>
        </w:numPr>
        <w:ind w:left="0" w:hanging="0"/>
        <w:rPr>
          <w:rFonts w:ascii="Calibri" w:hAnsi="Calibri"/>
          <w:sz w:val="21"/>
          <w:szCs w:val="21"/>
        </w:rPr>
      </w:pPr>
      <w:r>
        <w:rPr>
          <w:rFonts w:ascii="Calibri" w:hAnsi="Calibri"/>
          <w:sz w:val="21"/>
          <w:szCs w:val="21"/>
        </w:rPr>
        <w:t xml:space="preserve">Prova de inscrição no cadastro de contribuintes </w:t>
      </w:r>
      <w:r>
        <w:rPr>
          <w:rFonts w:ascii="Calibri" w:hAnsi="Calibri"/>
          <w:i w:val="false"/>
          <w:iCs w:val="false"/>
          <w:color w:val="auto"/>
          <w:sz w:val="21"/>
          <w:szCs w:val="21"/>
        </w:rPr>
        <w:t>[Estadual/Distrital] ou [Municipal/Distrital]</w:t>
      </w:r>
      <w:r>
        <w:rPr>
          <w:rFonts w:ascii="Calibri" w:hAnsi="Calibri"/>
          <w:color w:val="FF0000"/>
          <w:sz w:val="21"/>
          <w:szCs w:val="21"/>
        </w:rPr>
        <w:t xml:space="preserve"> </w:t>
      </w:r>
      <w:r>
        <w:rPr>
          <w:rFonts w:ascii="Calibri" w:hAnsi="Calibri"/>
          <w:sz w:val="21"/>
          <w:szCs w:val="21"/>
        </w:rPr>
        <w:t xml:space="preserve">relativo ao domicílio ou sede do fornecedor, pertinente ao seu ramo de atividade e compatível com o objeto contratual; </w:t>
      </w:r>
    </w:p>
    <w:p>
      <w:pPr>
        <w:pStyle w:val="Nivel2"/>
        <w:numPr>
          <w:ilvl w:val="1"/>
          <w:numId w:val="260"/>
        </w:numPr>
        <w:ind w:left="0" w:hanging="0"/>
        <w:rPr>
          <w:rFonts w:ascii="Calibri" w:hAnsi="Calibri"/>
          <w:sz w:val="21"/>
          <w:szCs w:val="21"/>
        </w:rPr>
      </w:pPr>
      <w:r>
        <w:rPr>
          <w:rFonts w:ascii="Calibri" w:hAnsi="Calibri"/>
          <w:sz w:val="21"/>
          <w:szCs w:val="21"/>
        </w:rPr>
        <w:t xml:space="preserve">Prova de regularidade com a Fazenda </w:t>
      </w:r>
      <w:r>
        <w:rPr>
          <w:rFonts w:ascii="Calibri" w:hAnsi="Calibri"/>
          <w:i w:val="false"/>
          <w:iCs w:val="false"/>
          <w:color w:val="auto"/>
          <w:sz w:val="21"/>
          <w:szCs w:val="21"/>
        </w:rPr>
        <w:t xml:space="preserve">[Estadual/Distrital] ou [Municipal/Distrital] </w:t>
      </w:r>
      <w:r>
        <w:rPr>
          <w:rFonts w:ascii="Calibri" w:hAnsi="Calibri"/>
          <w:sz w:val="21"/>
          <w:szCs w:val="21"/>
        </w:rPr>
        <w:t>do domicílio ou sede do fornecedor, relativa à atividade em cujo exercício contrata ou concorre;</w:t>
      </w:r>
      <w:commentRangeEnd w:id="37"/>
      <w:r>
        <w:commentReference w:id="37"/>
      </w:r>
      <w:r>
        <w:rPr>
          <w:rFonts w:ascii="Calibri" w:hAnsi="Calibri"/>
          <w:sz w:val="21"/>
          <w:szCs w:val="21"/>
        </w:rPr>
      </w:r>
    </w:p>
    <w:p>
      <w:pPr>
        <w:pStyle w:val="Nivel2"/>
        <w:numPr>
          <w:ilvl w:val="1"/>
          <w:numId w:val="261"/>
        </w:numPr>
        <w:ind w:left="0" w:hanging="0"/>
        <w:rPr>
          <w:rFonts w:ascii="Calibri" w:hAnsi="Calibri"/>
          <w:sz w:val="21"/>
          <w:szCs w:val="21"/>
        </w:rPr>
      </w:pPr>
      <w:r>
        <w:rPr>
          <w:rFonts w:ascii="Calibri" w:hAnsi="Calibri"/>
          <w:sz w:val="21"/>
          <w:szCs w:val="21"/>
        </w:rPr>
        <w:t xml:space="preserve">Caso o fornecedor seja considerado isento dos tributos </w:t>
      </w:r>
      <w:r>
        <w:rPr>
          <w:rFonts w:ascii="Calibri" w:hAnsi="Calibri"/>
          <w:i w:val="false"/>
          <w:iCs w:val="false"/>
          <w:color w:val="auto"/>
          <w:sz w:val="21"/>
          <w:szCs w:val="21"/>
        </w:rPr>
        <w:t>[Estadual/Distrital] ou [Municipal/Distrital]</w:t>
      </w:r>
      <w:r>
        <w:rPr>
          <w:rFonts w:ascii="Calibri" w:hAnsi="Calibri"/>
          <w:color w:val="FF0000"/>
          <w:sz w:val="21"/>
          <w:szCs w:val="21"/>
        </w:rPr>
        <w:t xml:space="preserve"> </w:t>
      </w:r>
      <w:r>
        <w:rPr>
          <w:rFonts w:ascii="Calibri" w:hAnsi="Calibri"/>
          <w:sz w:val="21"/>
          <w:szCs w:val="21"/>
        </w:rPr>
        <w:t>relacionados ao objeto contratual, deverá comprovar tal condição mediante a apresentação de declaração da Fazenda respectiva do seu domicílio ou sede, ou outra equivalente, na forma da lei.</w:t>
      </w:r>
    </w:p>
    <w:p>
      <w:pPr>
        <w:pStyle w:val="Nivel2"/>
        <w:numPr>
          <w:ilvl w:val="1"/>
          <w:numId w:val="262"/>
        </w:numPr>
        <w:ind w:left="0" w:hanging="0"/>
        <w:rPr>
          <w:rFonts w:ascii="Calibri" w:hAnsi="Calibri"/>
          <w:sz w:val="21"/>
          <w:szCs w:val="21"/>
        </w:rPr>
      </w:pPr>
      <w:commentRangeStart w:id="38"/>
      <w:r>
        <w:rPr>
          <w:rFonts w:ascii="Calibri" w:hAnsi="Calibri"/>
          <w:sz w:val="21"/>
          <w:szCs w:val="21"/>
        </w:rPr>
        <w:t>O fornecedor enquadrado como microempreendedor individual que pretenda auferir os benefícios do tratamento diferenciado previstos na Lei Complementar n. 123, de 2006, estará dispensado da prova de inscrição nos cadastros de contribuintes estadual e municipal.</w:t>
      </w:r>
      <w:commentRangeEnd w:id="38"/>
      <w:r>
        <w:commentReference w:id="38"/>
      </w:r>
      <w:r>
        <w:rPr>
          <w:rFonts w:ascii="Calibri" w:hAnsi="Calibri"/>
          <w:sz w:val="21"/>
          <w:szCs w:val="21"/>
        </w:rPr>
      </w:r>
    </w:p>
    <w:p>
      <w:pPr>
        <w:pStyle w:val="Nvel1SemNumPreto"/>
        <w:rPr>
          <w:rFonts w:ascii="Calibri" w:hAnsi="Calibri"/>
          <w:color w:val="FF0000"/>
          <w:sz w:val="21"/>
          <w:szCs w:val="21"/>
        </w:rPr>
      </w:pPr>
      <w:r>
        <w:rPr>
          <w:rFonts w:ascii="Calibri" w:hAnsi="Calibri"/>
          <w:color w:val="FF0000"/>
          <w:sz w:val="21"/>
          <w:szCs w:val="21"/>
        </w:rPr>
      </w:r>
    </w:p>
    <w:p>
      <w:pPr>
        <w:pStyle w:val="Nvel1SemNumPreto"/>
        <w:rPr>
          <w:rFonts w:ascii="Calibri" w:hAnsi="Calibri"/>
          <w:sz w:val="21"/>
          <w:szCs w:val="21"/>
        </w:rPr>
      </w:pPr>
      <w:commentRangeStart w:id="39"/>
      <w:r>
        <w:rPr>
          <w:rFonts w:ascii="Calibri" w:hAnsi="Calibri"/>
          <w:i w:val="false"/>
          <w:iCs w:val="false"/>
          <w:color w:val="000000"/>
          <w:sz w:val="21"/>
          <w:szCs w:val="21"/>
          <w:shd w:fill="auto" w:val="clear"/>
        </w:rPr>
        <w:t>Qualificação Econômico-Financeira</w:t>
      </w:r>
      <w:commentRangeEnd w:id="39"/>
      <w:r>
        <w:commentReference w:id="39"/>
      </w:r>
      <w:r>
        <w:rPr>
          <w:rFonts w:ascii="Calibri" w:hAnsi="Calibri"/>
          <w:i w:val="false"/>
          <w:iCs w:val="false"/>
          <w:color w:val="000000"/>
          <w:sz w:val="21"/>
          <w:szCs w:val="21"/>
          <w:shd w:fill="auto" w:val="clear"/>
        </w:rPr>
      </w:r>
    </w:p>
    <w:p>
      <w:pPr>
        <w:pStyle w:val="Nivel2"/>
        <w:numPr>
          <w:ilvl w:val="1"/>
          <w:numId w:val="263"/>
        </w:numPr>
        <w:ind w:left="0" w:hanging="0"/>
        <w:rPr/>
      </w:pPr>
      <w:r>
        <w:rPr>
          <w:rFonts w:ascii="Calibri" w:hAnsi="Calibri"/>
          <w:i w:val="false"/>
          <w:iCs w:val="false"/>
          <w:color w:val="000000"/>
          <w:sz w:val="21"/>
          <w:szCs w:val="21"/>
          <w:shd w:fill="auto" w:val="clear"/>
        </w:rPr>
        <w:t>Certidão negativa de insolvência civil expedida pelo distribuidor do domicílio ou sede do interessado, caso se trate de pessoa física, desde que admitida a sua contratação (</w:t>
      </w:r>
      <w:r>
        <w:fldChar w:fldCharType="begin"/>
      </w:r>
      <w:r>
        <w:rPr>
          <w:rStyle w:val="LinkdaInternet"/>
          <w:sz w:val="21"/>
          <w:i w:val="false"/>
          <w:shd w:fill="auto" w:val="clear"/>
          <w:szCs w:val="21"/>
          <w:iCs w:val="false"/>
          <w:rFonts w:ascii="Calibri" w:hAnsi="Calibri"/>
          <w:color w:val="000000"/>
        </w:rPr>
        <w:instrText> HYPERLINK "https://www.gov.br/compras/pt-br/acesso-a-informacao/legislacao/instrucoes-normativas/instrucao-normativa-seges-me-no-116-de-21-de-dezembro-de-2021" \l "art5"</w:instrText>
      </w:r>
      <w:r>
        <w:rPr>
          <w:rStyle w:val="LinkdaInternet"/>
          <w:sz w:val="21"/>
          <w:i w:val="false"/>
          <w:shd w:fill="auto" w:val="clear"/>
          <w:szCs w:val="21"/>
          <w:iCs w:val="false"/>
          <w:rFonts w:ascii="Calibri" w:hAnsi="Calibri"/>
          <w:color w:val="000000"/>
        </w:rPr>
        <w:fldChar w:fldCharType="separate"/>
      </w:r>
      <w:r>
        <w:rPr>
          <w:rStyle w:val="LinkdaInternet"/>
          <w:rFonts w:ascii="Calibri" w:hAnsi="Calibri"/>
          <w:i w:val="false"/>
          <w:iCs w:val="false"/>
          <w:color w:val="000000"/>
          <w:sz w:val="21"/>
          <w:szCs w:val="21"/>
          <w:shd w:fill="auto" w:val="clear"/>
        </w:rPr>
        <w:t>art. 5º, inciso II, alínea “c”, da Instrução Normativa Seges/ME nº 116, de 2021</w:t>
      </w:r>
      <w:r>
        <w:rPr>
          <w:rStyle w:val="LinkdaInternet"/>
          <w:sz w:val="21"/>
          <w:i w:val="false"/>
          <w:shd w:fill="auto" w:val="clear"/>
          <w:szCs w:val="21"/>
          <w:iCs w:val="false"/>
          <w:rFonts w:ascii="Calibri" w:hAnsi="Calibri"/>
          <w:color w:val="000000"/>
        </w:rPr>
        <w:fldChar w:fldCharType="end"/>
      </w:r>
      <w:r>
        <w:rPr>
          <w:rFonts w:ascii="Calibri" w:hAnsi="Calibri"/>
          <w:i w:val="false"/>
          <w:iCs w:val="false"/>
          <w:color w:val="000000"/>
          <w:sz w:val="21"/>
          <w:szCs w:val="21"/>
          <w:shd w:fill="auto" w:val="clear"/>
        </w:rPr>
        <w:t xml:space="preserve">), ou de sociedade simples; </w:t>
      </w:r>
    </w:p>
    <w:p>
      <w:pPr>
        <w:pStyle w:val="Nivel2"/>
        <w:numPr>
          <w:ilvl w:val="1"/>
          <w:numId w:val="264"/>
        </w:numPr>
        <w:ind w:left="0" w:hanging="0"/>
        <w:rPr/>
      </w:pPr>
      <w:r>
        <w:rPr>
          <w:rFonts w:ascii="Calibri" w:hAnsi="Calibri"/>
          <w:i w:val="false"/>
          <w:iCs w:val="false"/>
          <w:color w:val="000000"/>
          <w:sz w:val="21"/>
          <w:szCs w:val="21"/>
          <w:shd w:fill="auto" w:val="clear"/>
        </w:rPr>
        <w:t xml:space="preserve">Certidão negativa de falência expedida pelo distribuidor da sede do fornecedor - </w:t>
      </w:r>
      <w:r>
        <w:fldChar w:fldCharType="begin"/>
      </w:r>
      <w:r>
        <w:rPr>
          <w:rStyle w:val="LinkdaInternet"/>
          <w:sz w:val="21"/>
          <w:i w:val="false"/>
          <w:shd w:fill="auto" w:val="clear"/>
          <w:szCs w:val="21"/>
          <w:iCs w:val="false"/>
          <w:rFonts w:ascii="Calibri" w:hAnsi="Calibri"/>
          <w:color w:val="000000"/>
        </w:rPr>
        <w:instrText> HYPERLINK "http://www.planalto.gov.br/ccivil_03/_ato2019-2022/2021/lei/L14133.htm" \l "art69"</w:instrText>
      </w:r>
      <w:r>
        <w:rPr>
          <w:rStyle w:val="LinkdaInternet"/>
          <w:sz w:val="21"/>
          <w:i w:val="false"/>
          <w:shd w:fill="auto" w:val="clear"/>
          <w:szCs w:val="21"/>
          <w:iCs w:val="false"/>
          <w:rFonts w:ascii="Calibri" w:hAnsi="Calibri"/>
          <w:color w:val="000000"/>
        </w:rPr>
        <w:fldChar w:fldCharType="separate"/>
      </w:r>
      <w:r>
        <w:rPr>
          <w:rStyle w:val="LinkdaInternet"/>
          <w:rFonts w:ascii="Calibri" w:hAnsi="Calibri"/>
          <w:i w:val="false"/>
          <w:iCs w:val="false"/>
          <w:color w:val="000000"/>
          <w:sz w:val="21"/>
          <w:szCs w:val="21"/>
          <w:shd w:fill="auto" w:val="clear"/>
        </w:rPr>
        <w:t>Lei nº 14.133, de 2021, art. 69, caput, inciso II</w:t>
      </w:r>
      <w:r>
        <w:rPr>
          <w:rStyle w:val="LinkdaInternet"/>
          <w:sz w:val="21"/>
          <w:i w:val="false"/>
          <w:shd w:fill="auto" w:val="clear"/>
          <w:szCs w:val="21"/>
          <w:iCs w:val="false"/>
          <w:rFonts w:ascii="Calibri" w:hAnsi="Calibri"/>
          <w:color w:val="000000"/>
        </w:rPr>
        <w:fldChar w:fldCharType="end"/>
      </w:r>
      <w:r>
        <w:rPr>
          <w:rFonts w:ascii="Calibri" w:hAnsi="Calibri"/>
          <w:i w:val="false"/>
          <w:iCs w:val="false"/>
          <w:color w:val="000000"/>
          <w:sz w:val="21"/>
          <w:szCs w:val="21"/>
          <w:shd w:fill="auto" w:val="clear"/>
        </w:rPr>
        <w:t>);</w:t>
      </w:r>
    </w:p>
    <w:p>
      <w:pPr>
        <w:pStyle w:val="Nivel2"/>
        <w:numPr>
          <w:ilvl w:val="1"/>
          <w:numId w:val="265"/>
        </w:numPr>
        <w:ind w:left="0" w:hanging="0"/>
        <w:rPr>
          <w:rFonts w:ascii="Calibri" w:hAnsi="Calibri"/>
          <w:sz w:val="21"/>
          <w:szCs w:val="21"/>
        </w:rPr>
      </w:pPr>
      <w:r>
        <w:rPr>
          <w:rFonts w:ascii="Calibri" w:hAnsi="Calibri"/>
          <w:i w:val="false"/>
          <w:iCs w:val="false"/>
          <w:color w:val="000000"/>
          <w:sz w:val="21"/>
          <w:szCs w:val="21"/>
          <w:shd w:fill="auto" w:val="clear"/>
        </w:rPr>
        <w:t>Balanço patrimonial, demonstração de resultado de exercício e demais demonstrações contábeis dos 2 (dois) últimos exercícios sociais, comprovando;</w:t>
      </w:r>
    </w:p>
    <w:p>
      <w:pPr>
        <w:pStyle w:val="Nivel3"/>
        <w:numPr>
          <w:ilvl w:val="2"/>
          <w:numId w:val="266"/>
        </w:numPr>
        <w:ind w:left="284" w:hanging="0"/>
        <w:rPr>
          <w:rFonts w:ascii="Calibri" w:hAnsi="Calibri"/>
          <w:sz w:val="21"/>
          <w:szCs w:val="21"/>
        </w:rPr>
      </w:pPr>
      <w:r>
        <w:rPr>
          <w:rFonts w:ascii="Calibri" w:hAnsi="Calibri"/>
          <w:i w:val="false"/>
          <w:iCs w:val="false"/>
          <w:color w:val="000000"/>
          <w:sz w:val="21"/>
          <w:szCs w:val="21"/>
          <w:shd w:fill="auto" w:val="clear"/>
        </w:rPr>
        <w:t>índices de Liquidez Geral (LG), Liquidez Corrente (LC), e Solvência Geral (SG) superiores a 1 (um);</w:t>
      </w:r>
    </w:p>
    <w:p>
      <w:pPr>
        <w:pStyle w:val="Nivel3"/>
        <w:numPr>
          <w:ilvl w:val="2"/>
          <w:numId w:val="267"/>
        </w:numPr>
        <w:ind w:left="284" w:hanging="0"/>
        <w:rPr>
          <w:rFonts w:ascii="Calibri" w:hAnsi="Calibri"/>
          <w:sz w:val="21"/>
          <w:szCs w:val="21"/>
        </w:rPr>
      </w:pPr>
      <w:r>
        <w:rPr>
          <w:rFonts w:ascii="Calibri" w:hAnsi="Calibri"/>
          <w:i w:val="false"/>
          <w:iCs w:val="false"/>
          <w:color w:val="000000"/>
          <w:sz w:val="21"/>
          <w:szCs w:val="21"/>
          <w:shd w:fill="auto" w:val="clear"/>
        </w:rPr>
        <w:t>As empresas criadas no exercício financeiro da contratação direta deverão atender a todas as exigências da habilitação e poderão substituir os demonstrativos contábeis pelo balanço de abertura.</w:t>
      </w:r>
    </w:p>
    <w:p>
      <w:pPr>
        <w:pStyle w:val="Nivel3"/>
        <w:numPr>
          <w:ilvl w:val="2"/>
          <w:numId w:val="268"/>
        </w:numPr>
        <w:ind w:left="284" w:hanging="0"/>
        <w:rPr>
          <w:rFonts w:ascii="Calibri" w:hAnsi="Calibri"/>
          <w:sz w:val="21"/>
          <w:szCs w:val="21"/>
        </w:rPr>
      </w:pPr>
      <w:r>
        <w:rPr>
          <w:rFonts w:ascii="Calibri" w:hAnsi="Calibri"/>
          <w:i w:val="false"/>
          <w:iCs w:val="false"/>
          <w:color w:val="000000"/>
          <w:sz w:val="21"/>
          <w:szCs w:val="21"/>
          <w:shd w:fill="auto" w:val="clear"/>
        </w:rPr>
        <w:t>Os documentos referidos acima limitar-se-ão ao último exercício no caso de a pessoa jurídica ter sido constituída há menos de 2 (dois) anos;</w:t>
      </w:r>
    </w:p>
    <w:p>
      <w:pPr>
        <w:pStyle w:val="Nivel3"/>
        <w:numPr>
          <w:ilvl w:val="2"/>
          <w:numId w:val="269"/>
        </w:numPr>
        <w:ind w:left="284" w:hanging="0"/>
        <w:rPr>
          <w:rFonts w:ascii="Calibri" w:hAnsi="Calibri"/>
          <w:sz w:val="21"/>
          <w:szCs w:val="21"/>
        </w:rPr>
      </w:pPr>
      <w:commentRangeStart w:id="40"/>
      <w:r>
        <w:rPr>
          <w:rFonts w:ascii="Calibri" w:hAnsi="Calibri"/>
          <w:i w:val="false"/>
          <w:iCs w:val="false"/>
          <w:color w:val="000000"/>
          <w:sz w:val="21"/>
          <w:szCs w:val="21"/>
          <w:shd w:fill="auto" w:val="clear"/>
        </w:rPr>
        <w:t xml:space="preserve">Os documentos referidos </w:t>
      </w:r>
      <w:r>
        <w:rPr>
          <w:rFonts w:ascii="Calibri" w:hAnsi="Calibri"/>
          <w:i w:val="false"/>
          <w:iCs w:val="false"/>
          <w:color w:val="000000"/>
          <w:sz w:val="21"/>
          <w:szCs w:val="21"/>
          <w:shd w:fill="auto" w:val="clear"/>
        </w:rPr>
      </w:r>
      <w:commentRangeEnd w:id="40"/>
      <w:r>
        <w:commentReference w:id="40"/>
      </w:r>
      <w:r>
        <w:rPr>
          <w:rFonts w:ascii="Calibri" w:hAnsi="Calibri"/>
          <w:i w:val="false"/>
          <w:iCs w:val="false"/>
          <w:color w:val="000000"/>
          <w:sz w:val="21"/>
          <w:szCs w:val="21"/>
          <w:shd w:fill="auto" w:val="clear"/>
        </w:rPr>
        <w:t>acima deverão ser exigidos com base no limite definido pela Receita Federal do Brasil para transmissão da Escrituração Contábil Digital - ECD ao Sped.</w:t>
      </w:r>
    </w:p>
    <w:p>
      <w:pPr>
        <w:pStyle w:val="Nivel2"/>
        <w:numPr>
          <w:ilvl w:val="1"/>
          <w:numId w:val="270"/>
        </w:numPr>
        <w:ind w:left="0" w:hanging="0"/>
        <w:rPr>
          <w:rFonts w:ascii="Calibri" w:hAnsi="Calibri"/>
          <w:sz w:val="21"/>
          <w:szCs w:val="21"/>
        </w:rPr>
      </w:pPr>
      <w:commentRangeStart w:id="41"/>
      <w:r>
        <w:rPr>
          <w:rFonts w:ascii="Calibri" w:hAnsi="Calibri"/>
          <w:i w:val="false"/>
          <w:iCs w:val="false"/>
          <w:color w:val="000000"/>
          <w:sz w:val="21"/>
          <w:szCs w:val="21"/>
          <w:shd w:fill="auto" w:val="clear"/>
        </w:rPr>
        <w:t xml:space="preserve">Caso a empresa interessada apresente resultado inferior ou igual a 1 (um) em qualquer dos índices de Liquidez Geral (LG), Solvência Geral (SG) e Liquidez Corrente (LC), será exigido para fins de habilitação [capital mínimo] </w:t>
      </w:r>
      <w:r>
        <w:rPr>
          <w:rFonts w:ascii="Calibri" w:hAnsi="Calibri"/>
          <w:i w:val="false"/>
          <w:iCs w:val="false"/>
          <w:color w:val="000000"/>
          <w:sz w:val="21"/>
          <w:szCs w:val="21"/>
          <w:u w:val="single"/>
          <w:shd w:fill="auto" w:val="clear"/>
        </w:rPr>
        <w:t>OU</w:t>
      </w:r>
      <w:r>
        <w:rPr>
          <w:rFonts w:ascii="Calibri" w:hAnsi="Calibri"/>
          <w:i w:val="false"/>
          <w:iCs w:val="false"/>
          <w:color w:val="000000"/>
          <w:sz w:val="21"/>
          <w:szCs w:val="21"/>
          <w:shd w:fill="auto" w:val="clear"/>
        </w:rPr>
        <w:t xml:space="preserve"> [patrimônio líquido mínimo] de 10% do valor total estimado da contratação.</w:t>
      </w:r>
      <w:commentRangeEnd w:id="41"/>
      <w:r>
        <w:commentReference w:id="41"/>
      </w:r>
      <w:r>
        <w:rPr>
          <w:rFonts w:ascii="Calibri" w:hAnsi="Calibri"/>
          <w:i w:val="false"/>
          <w:iCs w:val="false"/>
          <w:color w:val="000000"/>
          <w:sz w:val="21"/>
          <w:szCs w:val="21"/>
          <w:shd w:fill="auto" w:val="clear"/>
        </w:rPr>
      </w:r>
    </w:p>
    <w:p>
      <w:pPr>
        <w:pStyle w:val="Nivel2"/>
        <w:numPr>
          <w:ilvl w:val="1"/>
          <w:numId w:val="271"/>
        </w:numPr>
        <w:ind w:left="0" w:hanging="0"/>
        <w:rPr>
          <w:rFonts w:ascii="Calibri" w:hAnsi="Calibri"/>
          <w:sz w:val="21"/>
          <w:szCs w:val="21"/>
        </w:rPr>
      </w:pPr>
      <w:r>
        <w:rPr>
          <w:rFonts w:ascii="Calibri" w:hAnsi="Calibri"/>
          <w:i w:val="false"/>
          <w:iCs w:val="false"/>
          <w:color w:val="000000"/>
          <w:sz w:val="21"/>
          <w:szCs w:val="21"/>
          <w:shd w:fill="auto" w:val="clear"/>
        </w:rPr>
        <w:t>As empresas criadas no exercício financeiro da contratação direta deverão atender a todas as exigências da habilitação e poderão substituir os demonstrativos contábeis pelo balanço de abertura. (Lei nº 14.133, de 2021, art. 65, §1º).</w:t>
      </w:r>
    </w:p>
    <w:p>
      <w:pPr>
        <w:pStyle w:val="Nvel2Red"/>
        <w:numPr>
          <w:ilvl w:val="1"/>
          <w:numId w:val="272"/>
        </w:numPr>
        <w:ind w:left="0" w:hanging="0"/>
        <w:rPr>
          <w:rFonts w:ascii="Calibri" w:hAnsi="Calibri"/>
          <w:sz w:val="21"/>
          <w:szCs w:val="21"/>
        </w:rPr>
      </w:pPr>
      <w:commentRangeStart w:id="42"/>
      <w:r>
        <w:rPr>
          <w:rFonts w:ascii="Calibri" w:hAnsi="Calibri"/>
          <w:i w:val="false"/>
          <w:iCs w:val="false"/>
          <w:color w:val="000000"/>
          <w:sz w:val="21"/>
          <w:szCs w:val="21"/>
          <w:shd w:fill="auto" w:val="clear"/>
        </w:rPr>
        <w:t>O atendimento dos índices econômicos previstos neste item deverá ser atestado mediante declaração assinada por profissional habilitado da área contábil, apresentada pelo fornecedor.</w:t>
      </w:r>
      <w:commentRangeEnd w:id="42"/>
      <w:r>
        <w:commentReference w:id="42"/>
      </w:r>
      <w:r>
        <w:rPr>
          <w:rFonts w:ascii="Calibri" w:hAnsi="Calibri"/>
          <w:i w:val="false"/>
          <w:iCs w:val="false"/>
          <w:color w:val="000000"/>
          <w:sz w:val="21"/>
          <w:szCs w:val="21"/>
          <w:shd w:fill="auto" w:val="clear"/>
        </w:rPr>
      </w:r>
    </w:p>
    <w:p>
      <w:pPr>
        <w:pStyle w:val="Nvel1SemNumPreto"/>
        <w:rPr>
          <w:rFonts w:ascii="Calibri" w:hAnsi="Calibri"/>
          <w:sz w:val="21"/>
          <w:szCs w:val="21"/>
        </w:rPr>
      </w:pPr>
      <w:commentRangeStart w:id="43"/>
      <w:r>
        <w:rPr>
          <w:rFonts w:ascii="Calibri" w:hAnsi="Calibri"/>
          <w:i w:val="false"/>
          <w:iCs w:val="false"/>
          <w:color w:val="000000"/>
          <w:sz w:val="21"/>
          <w:szCs w:val="21"/>
          <w:shd w:fill="auto" w:val="clear"/>
        </w:rPr>
        <w:t>Qualificação Técnica</w:t>
      </w:r>
      <w:commentRangeEnd w:id="43"/>
      <w:r>
        <w:commentReference w:id="43"/>
      </w:r>
      <w:r>
        <w:rPr>
          <w:rFonts w:ascii="Calibri" w:hAnsi="Calibri"/>
          <w:i w:val="false"/>
          <w:iCs w:val="false"/>
          <w:color w:val="000000"/>
          <w:sz w:val="21"/>
          <w:szCs w:val="21"/>
          <w:shd w:fill="auto" w:val="clear"/>
        </w:rPr>
      </w:r>
    </w:p>
    <w:p>
      <w:pPr>
        <w:pStyle w:val="Nvel2Red"/>
        <w:numPr>
          <w:ilvl w:val="1"/>
          <w:numId w:val="273"/>
        </w:numPr>
        <w:ind w:left="0" w:hanging="0"/>
        <w:rPr>
          <w:rFonts w:ascii="Calibri" w:hAnsi="Calibri"/>
          <w:sz w:val="21"/>
          <w:szCs w:val="21"/>
        </w:rPr>
      </w:pPr>
      <w:r>
        <w:rPr>
          <w:rFonts w:ascii="Calibri" w:hAnsi="Calibri"/>
          <w:i w:val="false"/>
          <w:iCs w:val="false"/>
          <w:color w:val="000000"/>
          <w:sz w:val="21"/>
          <w:szCs w:val="21"/>
          <w:shd w:fill="auto" w:val="clear"/>
        </w:rPr>
        <w:t xml:space="preserve">Declaração de que o interessado tomou conhecimento de todas as informações e das condições locais para o cumprimento das obrigações objeto da contratação; </w:t>
      </w:r>
    </w:p>
    <w:p>
      <w:pPr>
        <w:pStyle w:val="Nvel2Red"/>
        <w:numPr>
          <w:ilvl w:val="1"/>
          <w:numId w:val="274"/>
        </w:numPr>
        <w:ind w:left="0" w:hanging="0"/>
        <w:rPr>
          <w:rFonts w:ascii="Calibri" w:hAnsi="Calibri"/>
          <w:sz w:val="21"/>
          <w:szCs w:val="21"/>
        </w:rPr>
      </w:pPr>
      <w:r>
        <w:rPr>
          <w:rFonts w:ascii="Calibri" w:hAnsi="Calibri"/>
          <w:i w:val="false"/>
          <w:iCs w:val="false"/>
          <w:color w:val="000000"/>
          <w:sz w:val="21"/>
          <w:szCs w:val="21"/>
          <w:shd w:fill="auto" w:val="clear"/>
        </w:rPr>
        <w:t>A declaração acima poderá ser substituída por declaração formal assinada pelo responsável técnico do interessado acerca do conhecimento pleno das condições e peculiaridades da contratação.</w:t>
      </w:r>
    </w:p>
    <w:p>
      <w:pPr>
        <w:pStyle w:val="Nvel2Red"/>
        <w:numPr>
          <w:ilvl w:val="1"/>
          <w:numId w:val="275"/>
        </w:numPr>
        <w:ind w:left="0" w:hanging="0"/>
        <w:rPr>
          <w:rFonts w:ascii="Calibri" w:hAnsi="Calibri"/>
          <w:sz w:val="21"/>
          <w:szCs w:val="21"/>
        </w:rPr>
      </w:pPr>
      <w:commentRangeStart w:id="44"/>
      <w:r>
        <w:rPr>
          <w:rFonts w:ascii="Calibri" w:hAnsi="Calibri"/>
          <w:i w:val="false"/>
          <w:iCs w:val="false"/>
          <w:color w:val="000000"/>
          <w:sz w:val="21"/>
          <w:szCs w:val="21"/>
          <w:shd w:fill="auto" w:val="clear"/>
          <w:lang w:eastAsia="zh-CN" w:bidi="hi-IN"/>
        </w:rPr>
        <w:t>Registro ou inscrição da empresa na entidade profissional equivalente, em plena validade;</w:t>
      </w:r>
      <w:commentRangeEnd w:id="44"/>
      <w:r>
        <w:commentReference w:id="44"/>
      </w:r>
      <w:r>
        <w:rPr>
          <w:rFonts w:ascii="Calibri" w:hAnsi="Calibri"/>
          <w:i w:val="false"/>
          <w:iCs w:val="false"/>
          <w:color w:val="000000"/>
          <w:sz w:val="21"/>
          <w:szCs w:val="21"/>
          <w:shd w:fill="auto" w:val="clear"/>
          <w:lang w:eastAsia="zh-CN" w:bidi="hi-IN"/>
        </w:rPr>
      </w:r>
    </w:p>
    <w:p>
      <w:pPr>
        <w:pStyle w:val="Nvel2Red"/>
        <w:numPr>
          <w:ilvl w:val="1"/>
          <w:numId w:val="276"/>
        </w:numPr>
        <w:ind w:left="0" w:hanging="0"/>
        <w:rPr>
          <w:rFonts w:ascii="Calibri" w:hAnsi="Calibri"/>
          <w:sz w:val="21"/>
          <w:szCs w:val="21"/>
        </w:rPr>
      </w:pPr>
      <w:r>
        <w:rPr>
          <w:rFonts w:ascii="Calibri" w:hAnsi="Calibri"/>
          <w:i w:val="false"/>
          <w:iCs w:val="false"/>
          <w:color w:val="000000"/>
          <w:sz w:val="21"/>
          <w:szCs w:val="21"/>
          <w:shd w:fill="auto" w:val="clear"/>
        </w:rPr>
        <w:t>Sociedades empresárias estrangeiras atenderão à exigência por meio da apresentação, no momento da assinatura do contrato, da solicitação de registro perante a entidade profissional competente no Brasil.</w:t>
      </w:r>
    </w:p>
    <w:p>
      <w:pPr>
        <w:pStyle w:val="Nvel2Red"/>
        <w:numPr>
          <w:ilvl w:val="1"/>
          <w:numId w:val="277"/>
        </w:numPr>
        <w:ind w:left="0" w:hanging="0"/>
        <w:rPr>
          <w:rFonts w:ascii="Calibri" w:hAnsi="Calibri"/>
          <w:sz w:val="21"/>
          <w:szCs w:val="21"/>
        </w:rPr>
      </w:pPr>
      <w:commentRangeStart w:id="45"/>
      <w:r>
        <w:rPr>
          <w:rFonts w:ascii="Calibri" w:hAnsi="Calibri"/>
          <w:i w:val="false"/>
          <w:iCs w:val="false"/>
          <w:color w:val="000000"/>
          <w:sz w:val="21"/>
          <w:szCs w:val="21"/>
          <w:shd w:fill="auto" w:val="clear"/>
        </w:rPr>
        <w:t>Comprovação de aptidão para o fornecimento de bens similares de complexidade tecnológica e operacional equivalente ou superior com o objeto desta contratação, ou com o item pertinente, por meio da apresentação de certidões ou atestados, por pessoas jurídicas de direito público ou privado, ou regularmente emitido(s) pelo conselho profissional competente, quando for o caso.</w:t>
      </w:r>
    </w:p>
    <w:p>
      <w:pPr>
        <w:pStyle w:val="Nvel3R"/>
        <w:numPr>
          <w:ilvl w:val="0"/>
          <w:numId w:val="0"/>
        </w:numPr>
        <w:ind w:left="2065" w:hanging="0"/>
        <w:rPr>
          <w:rFonts w:ascii="Calibri" w:hAnsi="Calibri"/>
          <w:i w:val="false"/>
          <w:i w:val="false"/>
          <w:iCs w:val="false"/>
          <w:color w:val="auto"/>
          <w:sz w:val="21"/>
          <w:szCs w:val="21"/>
          <w:shd w:fill="auto" w:val="clear"/>
        </w:rPr>
      </w:pPr>
      <w:r>
        <w:rPr>
          <w:rFonts w:ascii="Calibri" w:hAnsi="Calibri"/>
          <w:i w:val="false"/>
          <w:iCs w:val="false"/>
          <w:color w:val="000000"/>
          <w:sz w:val="21"/>
          <w:szCs w:val="21"/>
          <w:shd w:fill="auto" w:val="clear"/>
        </w:rPr>
      </w:r>
    </w:p>
    <w:p>
      <w:pPr>
        <w:pStyle w:val="Nvel3R"/>
        <w:numPr>
          <w:ilvl w:val="2"/>
          <w:numId w:val="278"/>
        </w:numPr>
        <w:ind w:left="284" w:hanging="0"/>
        <w:rPr>
          <w:rFonts w:ascii="Calibri" w:hAnsi="Calibri"/>
          <w:sz w:val="21"/>
          <w:szCs w:val="21"/>
        </w:rPr>
      </w:pPr>
      <w:r>
        <w:rPr>
          <w:rFonts w:ascii="Calibri" w:hAnsi="Calibri"/>
          <w:i w:val="false"/>
          <w:iCs w:val="false"/>
          <w:color w:val="000000"/>
          <w:sz w:val="21"/>
          <w:szCs w:val="21"/>
          <w:shd w:fill="auto" w:val="clear"/>
        </w:rPr>
        <w:t>Será admitida, para fins de comprovação de quantitativo mínimo, a apresentação e o somatório de diferentes atestados executados de forma concomitante.</w:t>
      </w:r>
      <w:commentRangeEnd w:id="45"/>
      <w:r>
        <w:commentReference w:id="45"/>
      </w:r>
      <w:r>
        <w:rPr>
          <w:rFonts w:ascii="Calibri" w:hAnsi="Calibri"/>
          <w:i w:val="false"/>
          <w:iCs w:val="false"/>
          <w:color w:val="000000"/>
          <w:sz w:val="21"/>
          <w:szCs w:val="21"/>
          <w:shd w:fill="auto" w:val="clear"/>
        </w:rPr>
      </w:r>
    </w:p>
    <w:p>
      <w:pPr>
        <w:pStyle w:val="Nvel3R"/>
        <w:numPr>
          <w:ilvl w:val="2"/>
          <w:numId w:val="279"/>
        </w:numPr>
        <w:ind w:left="284" w:hanging="0"/>
        <w:rPr>
          <w:rFonts w:ascii="Calibri" w:hAnsi="Calibri"/>
          <w:sz w:val="21"/>
          <w:szCs w:val="21"/>
        </w:rPr>
      </w:pPr>
      <w:commentRangeStart w:id="46"/>
      <w:r>
        <w:rPr>
          <w:rFonts w:ascii="Calibri" w:hAnsi="Calibri"/>
          <w:i w:val="false"/>
          <w:iCs w:val="false"/>
          <w:color w:val="000000"/>
          <w:sz w:val="21"/>
          <w:szCs w:val="21"/>
          <w:shd w:fill="auto" w:val="clear"/>
        </w:rPr>
        <w:t>Os atestados de capacidade técnica poderão ser apresentados em nome da matriz ou da filial do fornecedor.</w:t>
      </w:r>
      <w:commentRangeEnd w:id="46"/>
      <w:r>
        <w:commentReference w:id="46"/>
      </w:r>
      <w:r>
        <w:rPr>
          <w:rFonts w:ascii="Calibri" w:hAnsi="Calibri"/>
          <w:i w:val="false"/>
          <w:iCs w:val="false"/>
          <w:color w:val="000000"/>
          <w:sz w:val="21"/>
          <w:szCs w:val="21"/>
          <w:shd w:fill="auto" w:val="clear"/>
        </w:rPr>
      </w:r>
    </w:p>
    <w:p>
      <w:pPr>
        <w:pStyle w:val="Nvel3R"/>
        <w:numPr>
          <w:ilvl w:val="2"/>
          <w:numId w:val="280"/>
        </w:numPr>
        <w:ind w:left="284" w:hanging="0"/>
        <w:rPr>
          <w:rFonts w:ascii="Calibri" w:hAnsi="Calibri"/>
          <w:sz w:val="21"/>
          <w:szCs w:val="21"/>
        </w:rPr>
      </w:pPr>
      <w:r>
        <w:rPr>
          <w:rFonts w:ascii="Calibri" w:hAnsi="Calibri"/>
          <w:i w:val="false"/>
          <w:iCs w:val="false"/>
          <w:color w:val="000000"/>
          <w:sz w:val="21"/>
          <w:szCs w:val="21"/>
          <w:shd w:fill="auto" w:val="clear"/>
        </w:rPr>
        <w:t>O fornecedor disponibilizará todas as informações necessárias à comprovação da legitimidade dos atestados, apresentando, quando solicitado pela Administração, cópia do contrato que deu suporte à contratação, endereço atual da contratante e local em que foi executado o objeto contratado, dentre outros documentos.</w:t>
      </w:r>
    </w:p>
    <w:p>
      <w:pPr>
        <w:pStyle w:val="Nvel3R"/>
        <w:numPr>
          <w:ilvl w:val="0"/>
          <w:numId w:val="0"/>
        </w:numPr>
        <w:ind w:left="2065" w:hanging="0"/>
        <w:rPr>
          <w:rFonts w:ascii="Calibri" w:hAnsi="Calibri"/>
          <w:sz w:val="21"/>
          <w:szCs w:val="21"/>
        </w:rPr>
      </w:pPr>
      <w:r>
        <w:rPr/>
        <w:commentReference w:id="47"/>
      </w:r>
    </w:p>
    <w:p>
      <w:pPr>
        <w:pStyle w:val="Nivel2"/>
        <w:numPr>
          <w:ilvl w:val="1"/>
          <w:numId w:val="281"/>
        </w:numPr>
        <w:ind w:left="0" w:hanging="0"/>
        <w:rPr>
          <w:rFonts w:ascii="Calibri" w:hAnsi="Calibri"/>
          <w:sz w:val="21"/>
          <w:szCs w:val="21"/>
        </w:rPr>
      </w:pPr>
      <w:r>
        <w:rPr>
          <w:rFonts w:ascii="Calibri" w:hAnsi="Calibri"/>
          <w:i w:val="false"/>
          <w:iCs w:val="false"/>
          <w:color w:val="000000"/>
          <w:sz w:val="21"/>
          <w:szCs w:val="21"/>
          <w:shd w:fill="auto" w:val="clear"/>
        </w:rPr>
        <w:t>Caso admitida a participação de cooperativas, será exigida a seguinte documentação complementar:</w:t>
      </w:r>
    </w:p>
    <w:p>
      <w:pPr>
        <w:pStyle w:val="Nivel3"/>
        <w:numPr>
          <w:ilvl w:val="2"/>
          <w:numId w:val="282"/>
        </w:numPr>
        <w:ind w:left="284" w:hanging="0"/>
        <w:rPr/>
      </w:pPr>
      <w:r>
        <w:rPr>
          <w:rFonts w:ascii="Calibri" w:hAnsi="Calibri"/>
          <w:i w:val="false"/>
          <w:iCs w:val="false"/>
          <w:color w:val="000000"/>
          <w:sz w:val="21"/>
          <w:szCs w:val="21"/>
          <w:shd w:fill="auto" w:val="clear"/>
        </w:rPr>
        <w:t xml:space="preserve">A relação dos cooperados que atendem aos requisitos técnicos exigidos para a contratação e que executarão o contrato, com as respectivas atas de inscrição e a comprovação de que estão domiciliados na localidade da sede da cooperativa, respeitado o disposto nos </w:t>
      </w:r>
      <w:r>
        <w:fldChar w:fldCharType="begin"/>
      </w:r>
      <w:r>
        <w:rPr>
          <w:rStyle w:val="LinkdaInternet"/>
          <w:sz w:val="21"/>
          <w:i w:val="false"/>
          <w:shd w:fill="auto" w:val="clear"/>
          <w:szCs w:val="21"/>
          <w:iCs w:val="false"/>
          <w:rFonts w:ascii="Calibri" w:hAnsi="Calibri"/>
          <w:color w:val="000000"/>
        </w:rPr>
        <w:instrText> HYPERLINK "https://www.planalto.gov.br/ccivil_03/leis/l5764.htm" \l "art4"</w:instrText>
      </w:r>
      <w:r>
        <w:rPr>
          <w:rStyle w:val="LinkdaInternet"/>
          <w:sz w:val="21"/>
          <w:i w:val="false"/>
          <w:shd w:fill="auto" w:val="clear"/>
          <w:szCs w:val="21"/>
          <w:iCs w:val="false"/>
          <w:rFonts w:ascii="Calibri" w:hAnsi="Calibri"/>
          <w:color w:val="000000"/>
        </w:rPr>
        <w:fldChar w:fldCharType="separate"/>
      </w:r>
      <w:r>
        <w:rPr>
          <w:rStyle w:val="LinkdaInternet"/>
          <w:rFonts w:ascii="Calibri" w:hAnsi="Calibri"/>
          <w:i w:val="false"/>
          <w:iCs w:val="false"/>
          <w:color w:val="000000"/>
          <w:sz w:val="21"/>
          <w:szCs w:val="21"/>
          <w:shd w:fill="auto" w:val="clear"/>
        </w:rPr>
        <w:t>arts. 4º, inciso XI, 21, inciso I</w:t>
      </w:r>
      <w:r>
        <w:rPr>
          <w:rStyle w:val="LinkdaInternet"/>
          <w:sz w:val="21"/>
          <w:i w:val="false"/>
          <w:shd w:fill="auto" w:val="clear"/>
          <w:szCs w:val="21"/>
          <w:iCs w:val="false"/>
          <w:rFonts w:ascii="Calibri" w:hAnsi="Calibri"/>
          <w:color w:val="000000"/>
        </w:rPr>
        <w:fldChar w:fldCharType="end"/>
      </w:r>
      <w:r>
        <w:rPr>
          <w:rFonts w:ascii="Calibri" w:hAnsi="Calibri"/>
          <w:i w:val="false"/>
          <w:iCs w:val="false"/>
          <w:color w:val="000000"/>
          <w:sz w:val="21"/>
          <w:szCs w:val="21"/>
          <w:shd w:fill="auto" w:val="clear"/>
        </w:rPr>
        <w:t xml:space="preserve"> e </w:t>
      </w:r>
      <w:r>
        <w:fldChar w:fldCharType="begin"/>
      </w:r>
      <w:r>
        <w:rPr>
          <w:rStyle w:val="LinkdaInternet"/>
          <w:sz w:val="21"/>
          <w:i w:val="false"/>
          <w:shd w:fill="auto" w:val="clear"/>
          <w:szCs w:val="21"/>
          <w:iCs w:val="false"/>
          <w:rFonts w:ascii="Calibri" w:hAnsi="Calibri"/>
          <w:color w:val="000000"/>
        </w:rPr>
        <w:instrText> HYPERLINK "https://www.planalto.gov.br/ccivil_03/leis/l5764.htm" \l "art42"</w:instrText>
      </w:r>
      <w:r>
        <w:rPr>
          <w:rStyle w:val="LinkdaInternet"/>
          <w:sz w:val="21"/>
          <w:i w:val="false"/>
          <w:shd w:fill="auto" w:val="clear"/>
          <w:szCs w:val="21"/>
          <w:iCs w:val="false"/>
          <w:rFonts w:ascii="Calibri" w:hAnsi="Calibri"/>
          <w:color w:val="000000"/>
        </w:rPr>
        <w:fldChar w:fldCharType="separate"/>
      </w:r>
      <w:r>
        <w:rPr>
          <w:rStyle w:val="LinkdaInternet"/>
          <w:rFonts w:ascii="Calibri" w:hAnsi="Calibri"/>
          <w:i w:val="false"/>
          <w:iCs w:val="false"/>
          <w:color w:val="000000"/>
          <w:sz w:val="21"/>
          <w:szCs w:val="21"/>
          <w:shd w:fill="auto" w:val="clear"/>
        </w:rPr>
        <w:t>42, §§2º a 6º da Lei n. 5.764, de 1971</w:t>
      </w:r>
      <w:r>
        <w:rPr>
          <w:rStyle w:val="LinkdaInternet"/>
          <w:sz w:val="21"/>
          <w:i w:val="false"/>
          <w:shd w:fill="auto" w:val="clear"/>
          <w:szCs w:val="21"/>
          <w:iCs w:val="false"/>
          <w:rFonts w:ascii="Calibri" w:hAnsi="Calibri"/>
          <w:color w:val="000000"/>
        </w:rPr>
        <w:fldChar w:fldCharType="end"/>
      </w:r>
      <w:r>
        <w:rPr>
          <w:rFonts w:ascii="Calibri" w:hAnsi="Calibri"/>
          <w:i w:val="false"/>
          <w:iCs w:val="false"/>
          <w:color w:val="000000"/>
          <w:sz w:val="21"/>
          <w:szCs w:val="21"/>
          <w:shd w:fill="auto" w:val="clear"/>
        </w:rPr>
        <w:t>;</w:t>
      </w:r>
    </w:p>
    <w:p>
      <w:pPr>
        <w:pStyle w:val="Nivel3"/>
        <w:numPr>
          <w:ilvl w:val="2"/>
          <w:numId w:val="283"/>
        </w:numPr>
        <w:ind w:left="284" w:hanging="0"/>
        <w:rPr>
          <w:rFonts w:ascii="Calibri" w:hAnsi="Calibri"/>
          <w:sz w:val="21"/>
          <w:szCs w:val="21"/>
        </w:rPr>
      </w:pPr>
      <w:r>
        <w:rPr>
          <w:rFonts w:ascii="Calibri" w:hAnsi="Calibri"/>
          <w:i w:val="false"/>
          <w:iCs w:val="false"/>
          <w:color w:val="000000"/>
          <w:sz w:val="21"/>
          <w:szCs w:val="21"/>
          <w:shd w:fill="auto" w:val="clear"/>
        </w:rPr>
        <w:t>A declaração de regularidade de situação do contribuinte individual – DRSCI, para cada um dos cooperados indicados;</w:t>
      </w:r>
    </w:p>
    <w:p>
      <w:pPr>
        <w:pStyle w:val="Nivel3"/>
        <w:numPr>
          <w:ilvl w:val="2"/>
          <w:numId w:val="284"/>
        </w:numPr>
        <w:ind w:left="284" w:hanging="0"/>
        <w:rPr>
          <w:rFonts w:ascii="Calibri" w:hAnsi="Calibri"/>
          <w:sz w:val="21"/>
          <w:szCs w:val="21"/>
        </w:rPr>
      </w:pPr>
      <w:r>
        <w:rPr>
          <w:rFonts w:ascii="Calibri" w:hAnsi="Calibri"/>
          <w:i w:val="false"/>
          <w:iCs w:val="false"/>
          <w:color w:val="000000"/>
          <w:sz w:val="21"/>
          <w:szCs w:val="21"/>
          <w:shd w:fill="auto" w:val="clear"/>
        </w:rPr>
        <w:t xml:space="preserve">A comprovação do capital social proporcional ao número de cooperados necessários à execução contratual; </w:t>
      </w:r>
    </w:p>
    <w:p>
      <w:pPr>
        <w:pStyle w:val="Nivel3"/>
        <w:numPr>
          <w:ilvl w:val="2"/>
          <w:numId w:val="285"/>
        </w:numPr>
        <w:ind w:left="284" w:hanging="0"/>
        <w:rPr/>
      </w:pPr>
      <w:r>
        <w:rPr>
          <w:rFonts w:ascii="Calibri" w:hAnsi="Calibri"/>
          <w:i w:val="false"/>
          <w:iCs w:val="false"/>
          <w:color w:val="000000"/>
          <w:sz w:val="21"/>
          <w:szCs w:val="21"/>
          <w:shd w:fill="auto" w:val="clear"/>
        </w:rPr>
        <w:t xml:space="preserve">O registro previsto na </w:t>
      </w:r>
      <w:r>
        <w:fldChar w:fldCharType="begin"/>
      </w:r>
      <w:r>
        <w:rPr>
          <w:rStyle w:val="LinkdaInternet"/>
          <w:sz w:val="21"/>
          <w:i w:val="false"/>
          <w:shd w:fill="auto" w:val="clear"/>
          <w:szCs w:val="21"/>
          <w:iCs w:val="false"/>
          <w:rFonts w:ascii="Calibri" w:hAnsi="Calibri"/>
          <w:color w:val="000000"/>
        </w:rPr>
        <w:instrText> HYPERLINK "https://www.planalto.gov.br/ccivil_03/leis/l5764.htm" \l "art107"</w:instrText>
      </w:r>
      <w:r>
        <w:rPr>
          <w:rStyle w:val="LinkdaInternet"/>
          <w:sz w:val="21"/>
          <w:i w:val="false"/>
          <w:shd w:fill="auto" w:val="clear"/>
          <w:szCs w:val="21"/>
          <w:iCs w:val="false"/>
          <w:rFonts w:ascii="Calibri" w:hAnsi="Calibri"/>
          <w:color w:val="000000"/>
        </w:rPr>
        <w:fldChar w:fldCharType="separate"/>
      </w:r>
      <w:r>
        <w:rPr>
          <w:rStyle w:val="LinkdaInternet"/>
          <w:rFonts w:ascii="Calibri" w:hAnsi="Calibri"/>
          <w:i w:val="false"/>
          <w:iCs w:val="false"/>
          <w:color w:val="000000"/>
          <w:sz w:val="21"/>
          <w:szCs w:val="21"/>
          <w:shd w:fill="auto" w:val="clear"/>
        </w:rPr>
        <w:t>Lei n. 5.764, de 1971, art. 107</w:t>
      </w:r>
      <w:r>
        <w:rPr>
          <w:rStyle w:val="LinkdaInternet"/>
          <w:sz w:val="21"/>
          <w:i w:val="false"/>
          <w:shd w:fill="auto" w:val="clear"/>
          <w:szCs w:val="21"/>
          <w:iCs w:val="false"/>
          <w:rFonts w:ascii="Calibri" w:hAnsi="Calibri"/>
          <w:color w:val="000000"/>
        </w:rPr>
        <w:fldChar w:fldCharType="end"/>
      </w:r>
      <w:r>
        <w:rPr>
          <w:rFonts w:ascii="Calibri" w:hAnsi="Calibri"/>
          <w:i w:val="false"/>
          <w:iCs w:val="false"/>
          <w:color w:val="000000"/>
          <w:sz w:val="21"/>
          <w:szCs w:val="21"/>
          <w:shd w:fill="auto" w:val="clear"/>
        </w:rPr>
        <w:t>;</w:t>
      </w:r>
    </w:p>
    <w:p>
      <w:pPr>
        <w:pStyle w:val="Nivel3"/>
        <w:numPr>
          <w:ilvl w:val="2"/>
          <w:numId w:val="286"/>
        </w:numPr>
        <w:ind w:left="284" w:hanging="0"/>
        <w:rPr>
          <w:rFonts w:ascii="Calibri" w:hAnsi="Calibri"/>
          <w:sz w:val="21"/>
          <w:szCs w:val="21"/>
        </w:rPr>
      </w:pPr>
      <w:r>
        <w:rPr>
          <w:rFonts w:ascii="Calibri" w:hAnsi="Calibri"/>
          <w:i w:val="false"/>
          <w:iCs w:val="false"/>
          <w:color w:val="000000"/>
          <w:sz w:val="21"/>
          <w:szCs w:val="21"/>
          <w:shd w:fill="auto" w:val="clear"/>
        </w:rPr>
        <w:t xml:space="preserve"> </w:t>
      </w:r>
      <w:r>
        <w:rPr>
          <w:rFonts w:ascii="Calibri" w:hAnsi="Calibri"/>
          <w:i w:val="false"/>
          <w:iCs w:val="false"/>
          <w:color w:val="000000"/>
          <w:sz w:val="21"/>
          <w:szCs w:val="21"/>
          <w:shd w:fill="auto" w:val="clear"/>
        </w:rPr>
        <w:t>A comprovação de integração das respectivas quotas-partes por parte dos cooperados que executarão o contrato; e</w:t>
      </w:r>
    </w:p>
    <w:p>
      <w:pPr>
        <w:pStyle w:val="Nivel3"/>
        <w:numPr>
          <w:ilvl w:val="2"/>
          <w:numId w:val="287"/>
        </w:numPr>
        <w:ind w:left="284" w:hanging="0"/>
        <w:rPr>
          <w:rFonts w:ascii="Calibri" w:hAnsi="Calibri"/>
          <w:sz w:val="21"/>
          <w:szCs w:val="21"/>
        </w:rPr>
      </w:pPr>
      <w:r>
        <w:rPr>
          <w:rFonts w:ascii="Calibri" w:hAnsi="Calibri"/>
          <w:i w:val="false"/>
          <w:iCs w:val="false"/>
          <w:color w:val="000000"/>
          <w:sz w:val="21"/>
          <w:szCs w:val="21"/>
          <w:shd w:fill="auto" w:val="clear"/>
        </w:rPr>
        <w:t xml:space="preserve"> </w:t>
      </w:r>
      <w:r>
        <w:rPr>
          <w:rFonts w:ascii="Calibri" w:hAnsi="Calibri"/>
          <w:i w:val="false"/>
          <w:iCs w:val="false"/>
          <w:color w:val="000000"/>
          <w:sz w:val="21"/>
          <w:szCs w:val="21"/>
          <w:shd w:fill="auto" w:val="clear"/>
        </w:rPr>
        <w:t>Os seguintes documentos para a comprovação da regularidade jurídica da cooperativa: a) ata de fundação; b) estatuto social com a ata da assembleia que o aprovou; c) regimento dos fundos instituídos pelos cooperados, com a ata da assembleia; d) editais de convocação das três últimas assembleias gerais extraordinárias; e) três registros de presença dos cooperados que executarão o contrato em assembleias gerais ou nas reuniões seccionais; e f) ata da sessão que os cooperados autorizaram a cooperativa a contratar o objeto da contratação direta;</w:t>
      </w:r>
    </w:p>
    <w:p>
      <w:pPr>
        <w:pStyle w:val="Nivel3"/>
        <w:numPr>
          <w:ilvl w:val="2"/>
          <w:numId w:val="288"/>
        </w:numPr>
        <w:ind w:left="284" w:hanging="0"/>
        <w:rPr/>
      </w:pPr>
      <w:r>
        <w:rPr>
          <w:rFonts w:ascii="Calibri" w:hAnsi="Calibri"/>
          <w:i w:val="false"/>
          <w:iCs w:val="false"/>
          <w:color w:val="000000"/>
          <w:sz w:val="21"/>
          <w:szCs w:val="21"/>
          <w:shd w:fill="auto" w:val="clear"/>
        </w:rPr>
        <w:t xml:space="preserve">A última auditoria contábil-financeira da cooperativa, conforme dispõe o </w:t>
      </w:r>
      <w:r>
        <w:fldChar w:fldCharType="begin"/>
      </w:r>
      <w:r>
        <w:rPr>
          <w:rStyle w:val="LinkdaInternet"/>
          <w:sz w:val="21"/>
          <w:i w:val="false"/>
          <w:shd w:fill="auto" w:val="clear"/>
          <w:szCs w:val="21"/>
          <w:iCs w:val="false"/>
          <w:rFonts w:ascii="Calibri" w:hAnsi="Calibri"/>
          <w:color w:val="000000"/>
        </w:rPr>
        <w:instrText> HYPERLINK "https://www.planalto.gov.br/ccivil_03/leis/l5764.htm" \l "art112"</w:instrText>
      </w:r>
      <w:r>
        <w:rPr>
          <w:rStyle w:val="LinkdaInternet"/>
          <w:sz w:val="21"/>
          <w:i w:val="false"/>
          <w:shd w:fill="auto" w:val="clear"/>
          <w:szCs w:val="21"/>
          <w:iCs w:val="false"/>
          <w:rFonts w:ascii="Calibri" w:hAnsi="Calibri"/>
          <w:color w:val="000000"/>
        </w:rPr>
        <w:fldChar w:fldCharType="separate"/>
      </w:r>
      <w:r>
        <w:rPr>
          <w:rStyle w:val="LinkdaInternet"/>
          <w:rFonts w:ascii="Calibri" w:hAnsi="Calibri"/>
          <w:i w:val="false"/>
          <w:iCs w:val="false"/>
          <w:color w:val="000000"/>
          <w:sz w:val="21"/>
          <w:szCs w:val="21"/>
          <w:shd w:fill="auto" w:val="clear"/>
        </w:rPr>
        <w:t>art. 112 da Lei n. 5.764, de 1971</w:t>
      </w:r>
      <w:r>
        <w:rPr>
          <w:rStyle w:val="LinkdaInternet"/>
          <w:sz w:val="21"/>
          <w:i w:val="false"/>
          <w:shd w:fill="auto" w:val="clear"/>
          <w:szCs w:val="21"/>
          <w:iCs w:val="false"/>
          <w:rFonts w:ascii="Calibri" w:hAnsi="Calibri"/>
          <w:color w:val="000000"/>
        </w:rPr>
        <w:fldChar w:fldCharType="end"/>
      </w:r>
      <w:r>
        <w:rPr>
          <w:rFonts w:ascii="Calibri" w:hAnsi="Calibri"/>
          <w:i w:val="false"/>
          <w:iCs w:val="false"/>
          <w:color w:val="000000"/>
          <w:sz w:val="21"/>
          <w:szCs w:val="21"/>
          <w:shd w:fill="auto" w:val="clear"/>
        </w:rPr>
        <w:t>, ou uma declaração, sob as penas da lei, de que tal auditoria não foi exigida pelo órgão fiscalizador.</w:t>
      </w:r>
    </w:p>
    <w:p>
      <w:pPr>
        <w:pStyle w:val="Nivel01"/>
        <w:numPr>
          <w:ilvl w:val="0"/>
          <w:numId w:val="4"/>
        </w:numPr>
        <w:ind w:left="0" w:hanging="0"/>
        <w:rPr>
          <w:rFonts w:ascii="Calibri" w:hAnsi="Calibri"/>
          <w:sz w:val="21"/>
          <w:szCs w:val="21"/>
        </w:rPr>
      </w:pPr>
      <w:commentRangeStart w:id="48"/>
      <w:r>
        <w:rPr>
          <w:rFonts w:ascii="Calibri" w:hAnsi="Calibri"/>
          <w:sz w:val="21"/>
          <w:szCs w:val="21"/>
          <w:shd w:fill="auto" w:val="clear"/>
        </w:rPr>
        <w:t>ESTIMATIVAS DO VALOR DA CONTRATAÇÃO</w:t>
      </w:r>
      <w:commentRangeEnd w:id="48"/>
      <w:r>
        <w:commentReference w:id="48"/>
      </w:r>
      <w:r>
        <w:rPr>
          <w:rFonts w:ascii="Calibri" w:hAnsi="Calibri"/>
          <w:sz w:val="21"/>
          <w:szCs w:val="21"/>
          <w:shd w:fill="auto" w:val="clear"/>
        </w:rPr>
      </w:r>
    </w:p>
    <w:p>
      <w:pPr>
        <w:pStyle w:val="Nvel2Red"/>
        <w:numPr>
          <w:ilvl w:val="1"/>
          <w:numId w:val="289"/>
        </w:numPr>
        <w:ind w:left="0" w:hanging="0"/>
        <w:rPr>
          <w:rFonts w:ascii="Calibri" w:hAnsi="Calibri"/>
          <w:sz w:val="21"/>
          <w:szCs w:val="21"/>
        </w:rPr>
      </w:pPr>
      <w:r>
        <w:rPr>
          <w:rFonts w:ascii="Calibri" w:hAnsi="Calibri"/>
          <w:i w:val="false"/>
          <w:iCs w:val="false"/>
          <w:color w:val="000000"/>
          <w:sz w:val="21"/>
          <w:szCs w:val="21"/>
          <w:shd w:fill="auto" w:val="clear"/>
        </w:rPr>
        <w:t>O custo estimado total da contratação é de R$ 5.614,70 (cinco mil, seiscentos e catorze reais e setenta centavos), conforme custos unitários apostos em anexo.</w:t>
      </w:r>
    </w:p>
    <w:p>
      <w:pPr>
        <w:pStyle w:val="Nvel2Red"/>
        <w:numPr>
          <w:ilvl w:val="0"/>
          <w:numId w:val="0"/>
        </w:numPr>
        <w:ind w:left="999" w:hanging="0"/>
        <w:rPr>
          <w:rFonts w:ascii="Calibri" w:hAnsi="Calibri"/>
          <w:sz w:val="21"/>
          <w:szCs w:val="21"/>
        </w:rPr>
      </w:pPr>
      <w:r>
        <w:rPr>
          <w:rFonts w:ascii="Calibri" w:hAnsi="Calibri"/>
          <w:sz w:val="21"/>
          <w:szCs w:val="21"/>
        </w:rPr>
      </w:r>
    </w:p>
    <w:p>
      <w:pPr>
        <w:pStyle w:val="Nivel01"/>
        <w:numPr>
          <w:ilvl w:val="0"/>
          <w:numId w:val="4"/>
        </w:numPr>
        <w:ind w:left="0" w:hanging="0"/>
        <w:rPr>
          <w:rFonts w:ascii="Calibri" w:hAnsi="Calibri"/>
          <w:sz w:val="21"/>
          <w:szCs w:val="21"/>
        </w:rPr>
      </w:pPr>
      <w:r>
        <w:rPr>
          <w:rFonts w:ascii="Calibri" w:hAnsi="Calibri"/>
          <w:sz w:val="21"/>
          <w:szCs w:val="21"/>
        </w:rPr>
        <w:t>ADEQUAÇÃO ORÇAMENTÁRIA</w:t>
      </w:r>
    </w:p>
    <w:p>
      <w:pPr>
        <w:pStyle w:val="Nivel2"/>
        <w:numPr>
          <w:ilvl w:val="1"/>
          <w:numId w:val="290"/>
        </w:numPr>
        <w:ind w:left="0" w:hanging="0"/>
        <w:rPr>
          <w:rFonts w:ascii="Calibri" w:hAnsi="Calibri"/>
          <w:sz w:val="21"/>
          <w:szCs w:val="21"/>
        </w:rPr>
      </w:pPr>
      <w:r>
        <w:rPr>
          <w:rFonts w:ascii="Calibri" w:hAnsi="Calibri"/>
          <w:sz w:val="21"/>
          <w:szCs w:val="21"/>
        </w:rPr>
        <w:t>As despesas decorrentes da presente contratação correrão à conta de recursos específicos consignados no Orçamento Geral da União.</w:t>
      </w:r>
    </w:p>
    <w:p>
      <w:pPr>
        <w:pStyle w:val="Nivel2"/>
        <w:numPr>
          <w:ilvl w:val="1"/>
          <w:numId w:val="291"/>
        </w:numPr>
        <w:ind w:left="0" w:hanging="0"/>
        <w:rPr>
          <w:rFonts w:ascii="Calibri" w:hAnsi="Calibri"/>
          <w:sz w:val="21"/>
          <w:szCs w:val="21"/>
        </w:rPr>
      </w:pPr>
      <w:r>
        <w:rPr>
          <w:rFonts w:ascii="Calibri" w:hAnsi="Calibri"/>
          <w:sz w:val="21"/>
          <w:szCs w:val="21"/>
        </w:rPr>
        <w:t>A contratação será atendida pela seguinte dotação:</w:t>
      </w:r>
    </w:p>
    <w:p>
      <w:pPr>
        <w:pStyle w:val="ListParagraph"/>
        <w:numPr>
          <w:ilvl w:val="0"/>
          <w:numId w:val="5"/>
        </w:numPr>
        <w:spacing w:lineRule="auto" w:line="276" w:before="120" w:after="120"/>
        <w:ind w:left="284" w:hanging="0"/>
        <w:contextualSpacing/>
        <w:jc w:val="both"/>
        <w:rPr>
          <w:rFonts w:ascii="Calibri" w:hAnsi="Calibri"/>
          <w:sz w:val="21"/>
          <w:szCs w:val="21"/>
        </w:rPr>
      </w:pPr>
      <w:r>
        <w:rPr>
          <w:rFonts w:eastAsia="Arial" w:cs="Arial" w:ascii="Calibri" w:hAnsi="Calibri"/>
          <w:sz w:val="21"/>
          <w:szCs w:val="21"/>
        </w:rPr>
        <w:t xml:space="preserve"> </w:t>
      </w:r>
      <w:r>
        <w:rPr>
          <w:rFonts w:eastAsia="Arial" w:cs="Arial" w:ascii="Calibri" w:hAnsi="Calibri"/>
          <w:sz w:val="21"/>
          <w:szCs w:val="21"/>
        </w:rPr>
        <w:t>Gestão/Unidade: 167200;</w:t>
      </w:r>
    </w:p>
    <w:p>
      <w:pPr>
        <w:pStyle w:val="ListParagraph"/>
        <w:numPr>
          <w:ilvl w:val="0"/>
          <w:numId w:val="5"/>
        </w:numPr>
        <w:spacing w:lineRule="auto" w:line="276" w:before="120" w:after="120"/>
        <w:ind w:left="284" w:hanging="0"/>
        <w:contextualSpacing/>
        <w:jc w:val="both"/>
        <w:rPr>
          <w:rFonts w:ascii="Calibri" w:hAnsi="Calibri"/>
          <w:sz w:val="21"/>
          <w:szCs w:val="21"/>
        </w:rPr>
      </w:pPr>
      <w:r>
        <w:rPr>
          <w:rFonts w:eastAsia="Arial" w:cs="Arial" w:ascii="Calibri" w:hAnsi="Calibri"/>
          <w:sz w:val="21"/>
          <w:szCs w:val="21"/>
        </w:rPr>
        <w:t>Fonte de Recursos: 1021000000;</w:t>
      </w:r>
    </w:p>
    <w:p>
      <w:pPr>
        <w:pStyle w:val="ListParagraph"/>
        <w:numPr>
          <w:ilvl w:val="0"/>
          <w:numId w:val="5"/>
        </w:numPr>
        <w:spacing w:lineRule="auto" w:line="276" w:before="120" w:after="120"/>
        <w:ind w:left="284" w:hanging="0"/>
        <w:contextualSpacing/>
        <w:jc w:val="both"/>
        <w:rPr>
          <w:rFonts w:ascii="Calibri" w:hAnsi="Calibri"/>
          <w:sz w:val="21"/>
          <w:szCs w:val="21"/>
        </w:rPr>
      </w:pPr>
      <w:r>
        <w:rPr>
          <w:rFonts w:eastAsia="Arial" w:cs="Arial" w:ascii="Calibri" w:hAnsi="Calibri"/>
          <w:sz w:val="21"/>
          <w:szCs w:val="21"/>
        </w:rPr>
        <w:t>Programa de Trabalho: 232180;</w:t>
      </w:r>
    </w:p>
    <w:p>
      <w:pPr>
        <w:pStyle w:val="ListParagraph"/>
        <w:numPr>
          <w:ilvl w:val="0"/>
          <w:numId w:val="5"/>
        </w:numPr>
        <w:spacing w:lineRule="auto" w:line="276" w:before="120" w:after="120"/>
        <w:ind w:left="284" w:hanging="0"/>
        <w:contextualSpacing/>
        <w:jc w:val="both"/>
        <w:rPr>
          <w:rFonts w:ascii="Calibri" w:hAnsi="Calibri"/>
          <w:sz w:val="21"/>
          <w:szCs w:val="21"/>
        </w:rPr>
      </w:pPr>
      <w:r>
        <w:rPr>
          <w:rFonts w:eastAsia="Arial" w:cs="Arial" w:ascii="Calibri" w:hAnsi="Calibri"/>
          <w:sz w:val="21"/>
          <w:szCs w:val="21"/>
        </w:rPr>
        <w:t>Elemento de Despesa: 339030;</w:t>
      </w:r>
    </w:p>
    <w:p>
      <w:pPr>
        <w:pStyle w:val="ListParagraph"/>
        <w:numPr>
          <w:ilvl w:val="0"/>
          <w:numId w:val="5"/>
        </w:numPr>
        <w:spacing w:lineRule="auto" w:line="276" w:before="120" w:after="120"/>
        <w:ind w:left="284" w:hanging="0"/>
        <w:contextualSpacing/>
        <w:jc w:val="both"/>
        <w:rPr>
          <w:rFonts w:ascii="Calibri" w:hAnsi="Calibri"/>
          <w:sz w:val="21"/>
          <w:szCs w:val="21"/>
        </w:rPr>
      </w:pPr>
      <w:r>
        <w:rPr>
          <w:rFonts w:eastAsia="Arial" w:cs="Arial" w:ascii="Calibri" w:hAnsi="Calibri"/>
          <w:sz w:val="21"/>
          <w:szCs w:val="21"/>
        </w:rPr>
        <w:t xml:space="preserve">Plano Interno: </w:t>
      </w:r>
      <w:r>
        <w:rPr>
          <w:rFonts w:eastAsia="Arial" w:cs="Arial" w:ascii="Calibri" w:hAnsi="Calibri"/>
          <w:sz w:val="20"/>
          <w:szCs w:val="21"/>
        </w:rPr>
        <w:t>E3PCFSCMAIN</w:t>
      </w:r>
      <w:r>
        <w:rPr>
          <w:rFonts w:eastAsia="Arial" w:cs="Arial" w:ascii="Calibri" w:hAnsi="Calibri"/>
          <w:sz w:val="21"/>
          <w:szCs w:val="21"/>
        </w:rPr>
        <w:t>;</w:t>
      </w:r>
    </w:p>
    <w:p>
      <w:pPr>
        <w:pStyle w:val="Nvel2Red"/>
        <w:numPr>
          <w:ilvl w:val="1"/>
          <w:numId w:val="292"/>
        </w:numPr>
        <w:ind w:left="0" w:hanging="0"/>
        <w:rPr>
          <w:rFonts w:ascii="Calibri" w:hAnsi="Calibri"/>
          <w:sz w:val="21"/>
          <w:szCs w:val="21"/>
        </w:rPr>
      </w:pPr>
      <w:commentRangeStart w:id="49"/>
      <w:r>
        <w:rPr>
          <w:rFonts w:ascii="Calibri" w:hAnsi="Calibri"/>
          <w:i w:val="false"/>
          <w:iCs w:val="false"/>
          <w:color w:val="auto"/>
          <w:sz w:val="21"/>
          <w:szCs w:val="21"/>
        </w:rPr>
        <w:t>A dotação relativa aos exercícios financeiros subsequentes será indicada após aprovação da Lei Orçamentária respectiva e liberação dos créditos correspondentes, mediante apostilamento.</w:t>
      </w:r>
      <w:bookmarkStart w:id="3" w:name="_Hlk82471863"/>
      <w:bookmarkEnd w:id="3"/>
      <w:commentRangeEnd w:id="49"/>
      <w:r>
        <w:commentReference w:id="49"/>
      </w:r>
      <w:r>
        <w:rPr>
          <w:rFonts w:ascii="Calibri" w:hAnsi="Calibri"/>
          <w:i w:val="false"/>
          <w:iCs w:val="false"/>
          <w:color w:val="auto"/>
          <w:sz w:val="21"/>
          <w:szCs w:val="21"/>
        </w:rPr>
      </w:r>
    </w:p>
    <w:p>
      <w:pPr>
        <w:pStyle w:val="Nivel2"/>
        <w:numPr>
          <w:ilvl w:val="0"/>
          <w:numId w:val="0"/>
        </w:numPr>
        <w:ind w:left="0" w:hanging="0"/>
        <w:rPr>
          <w:rFonts w:ascii="Calibri" w:hAnsi="Calibri"/>
          <w:i w:val="false"/>
          <w:i w:val="false"/>
          <w:iCs w:val="false"/>
          <w:color w:val="auto"/>
          <w:sz w:val="21"/>
          <w:szCs w:val="21"/>
        </w:rPr>
      </w:pPr>
      <w:r>
        <w:rPr>
          <w:rFonts w:ascii="Calibri" w:hAnsi="Calibri"/>
          <w:i w:val="false"/>
          <w:iCs w:val="false"/>
          <w:color w:val="auto"/>
          <w:sz w:val="21"/>
          <w:szCs w:val="21"/>
        </w:rPr>
      </w:r>
    </w:p>
    <w:p>
      <w:pPr>
        <w:pStyle w:val="Nivel2"/>
        <w:numPr>
          <w:ilvl w:val="0"/>
          <w:numId w:val="0"/>
        </w:numPr>
        <w:ind w:left="0" w:hanging="0"/>
        <w:rPr>
          <w:rFonts w:ascii="Calibri" w:hAnsi="Calibri"/>
          <w:sz w:val="21"/>
          <w:szCs w:val="21"/>
        </w:rPr>
      </w:pPr>
      <w:r>
        <w:rPr>
          <w:rFonts w:ascii="Calibri" w:hAnsi="Calibri"/>
          <w:sz w:val="21"/>
          <w:szCs w:val="21"/>
        </w:rPr>
        <w:t>Recife-PE</w:t>
      </w:r>
      <w:r>
        <w:rPr>
          <w:rFonts w:ascii="Calibri" w:hAnsi="Calibri"/>
          <w:color w:val="auto"/>
          <w:sz w:val="21"/>
          <w:szCs w:val="21"/>
        </w:rPr>
        <w:t>,</w:t>
      </w:r>
      <w:r>
        <w:rPr>
          <w:rFonts w:ascii="Calibri" w:hAnsi="Calibri"/>
          <w:sz w:val="21"/>
          <w:szCs w:val="21"/>
        </w:rPr>
        <w:t xml:space="preserve"> </w:t>
      </w:r>
      <w:r>
        <w:rPr>
          <w:rFonts w:ascii="Calibri" w:hAnsi="Calibri"/>
          <w:sz w:val="21"/>
          <w:szCs w:val="21"/>
        </w:rPr>
        <w:t>11</w:t>
      </w:r>
      <w:r>
        <w:rPr>
          <w:rFonts w:ascii="Calibri" w:hAnsi="Calibri"/>
          <w:sz w:val="21"/>
          <w:szCs w:val="21"/>
        </w:rPr>
        <w:t xml:space="preserve"> </w:t>
      </w:r>
      <w:r>
        <w:rPr>
          <w:rFonts w:ascii="Calibri" w:hAnsi="Calibri"/>
          <w:color w:val="auto"/>
          <w:sz w:val="21"/>
          <w:szCs w:val="21"/>
        </w:rPr>
        <w:t>de</w:t>
      </w:r>
      <w:r>
        <w:rPr>
          <w:rFonts w:ascii="Calibri" w:hAnsi="Calibri"/>
          <w:sz w:val="21"/>
          <w:szCs w:val="21"/>
        </w:rPr>
        <w:t xml:space="preserve"> abril </w:t>
      </w:r>
      <w:r>
        <w:rPr>
          <w:rFonts w:ascii="Calibri" w:hAnsi="Calibri"/>
          <w:color w:val="auto"/>
          <w:sz w:val="21"/>
          <w:szCs w:val="21"/>
        </w:rPr>
        <w:t>de</w:t>
      </w:r>
      <w:r>
        <w:rPr>
          <w:rFonts w:ascii="Calibri" w:hAnsi="Calibri"/>
          <w:sz w:val="21"/>
          <w:szCs w:val="21"/>
        </w:rPr>
        <w:t xml:space="preserve"> 2024.</w:t>
      </w:r>
    </w:p>
    <w:p>
      <w:pPr>
        <w:pStyle w:val="Nivel2"/>
        <w:numPr>
          <w:ilvl w:val="0"/>
          <w:numId w:val="0"/>
        </w:numPr>
        <w:ind w:left="0" w:hanging="0"/>
        <w:rPr>
          <w:rFonts w:ascii="Calibri" w:hAnsi="Calibri"/>
          <w:sz w:val="21"/>
          <w:szCs w:val="21"/>
        </w:rPr>
      </w:pPr>
      <w:r>
        <w:rPr>
          <w:rFonts w:ascii="Calibri" w:hAnsi="Calibri"/>
          <w:sz w:val="21"/>
          <w:szCs w:val="21"/>
        </w:rPr>
      </w:r>
    </w:p>
    <w:p>
      <w:pPr>
        <w:pStyle w:val="Nivel2"/>
        <w:numPr>
          <w:ilvl w:val="0"/>
          <w:numId w:val="0"/>
        </w:numPr>
        <w:ind w:left="0" w:hanging="0"/>
        <w:rPr>
          <w:rFonts w:ascii="Calibri" w:hAnsi="Calibri"/>
          <w:sz w:val="21"/>
          <w:szCs w:val="21"/>
        </w:rPr>
      </w:pPr>
      <w:r>
        <w:rPr>
          <w:rFonts w:ascii="Calibri" w:hAnsi="Calibri"/>
          <w:sz w:val="21"/>
          <w:szCs w:val="21"/>
        </w:rPr>
      </w:r>
    </w:p>
    <w:p>
      <w:pPr>
        <w:pStyle w:val="Nivel2"/>
        <w:numPr>
          <w:ilvl w:val="0"/>
          <w:numId w:val="0"/>
        </w:numPr>
        <w:ind w:left="0" w:hanging="0"/>
        <w:rPr>
          <w:rFonts w:ascii="Calibri" w:hAnsi="Calibri"/>
          <w:sz w:val="21"/>
          <w:szCs w:val="21"/>
        </w:rPr>
      </w:pPr>
      <w:r>
        <w:rPr>
          <w:rFonts w:ascii="Calibri" w:hAnsi="Calibri"/>
          <w:sz w:val="21"/>
          <w:szCs w:val="21"/>
        </w:rPr>
      </w:r>
    </w:p>
    <w:p>
      <w:pPr>
        <w:pStyle w:val="Normal"/>
        <w:widowControl w:val="false"/>
        <w:spacing w:lineRule="auto" w:line="240" w:before="0" w:after="0"/>
        <w:jc w:val="center"/>
        <w:rPr>
          <w:rFonts w:ascii="Calibri" w:hAnsi="Calibri"/>
          <w:sz w:val="20"/>
          <w:szCs w:val="20"/>
        </w:rPr>
      </w:pPr>
      <w:r>
        <w:rPr>
          <w:rFonts w:eastAsia="Times New Roman" w:cs="Times New Roman" w:ascii="Calibri" w:hAnsi="Calibri"/>
          <w:b/>
          <w:bCs w:val="false"/>
          <w:i w:val="false"/>
          <w:strike w:val="false"/>
          <w:dstrike w:val="false"/>
          <w:outline w:val="false"/>
          <w:shadow w:val="false"/>
          <w:color w:val="000000"/>
          <w:sz w:val="20"/>
          <w:szCs w:val="20"/>
          <w:highlight w:val="white"/>
          <w:u w:val="none"/>
          <w:em w:val="none"/>
        </w:rPr>
        <w:t>ALMIR</w:t>
      </w:r>
      <w:r>
        <w:rPr>
          <w:rFonts w:ascii="Calibri" w:hAnsi="Calibri"/>
          <w:b w:val="false"/>
          <w:i w:val="false"/>
          <w:strike w:val="false"/>
          <w:dstrike w:val="false"/>
          <w:outline w:val="false"/>
          <w:shadow w:val="false"/>
          <w:color w:val="000000"/>
          <w:sz w:val="20"/>
          <w:szCs w:val="20"/>
          <w:u w:val="none"/>
          <w:em w:val="none"/>
        </w:rPr>
        <w:t xml:space="preserve"> OLIVEIRA DE SOUZA JÚNIOR – Cap</w:t>
      </w:r>
    </w:p>
    <w:p>
      <w:pPr>
        <w:pStyle w:val="Normal"/>
        <w:widowControl w:val="false"/>
        <w:spacing w:lineRule="auto" w:line="240" w:before="0" w:after="0"/>
        <w:ind w:left="360" w:hanging="0"/>
        <w:jc w:val="center"/>
        <w:rPr>
          <w:rFonts w:ascii="Calibri" w:hAnsi="Calibri"/>
          <w:sz w:val="20"/>
          <w:szCs w:val="20"/>
        </w:rPr>
      </w:pPr>
      <w:r>
        <w:rPr>
          <w:rFonts w:eastAsia="Arial" w:cs="Times New Roman" w:ascii="Calibri" w:hAnsi="Calibri"/>
          <w:b w:val="false"/>
          <w:bCs w:val="false"/>
          <w:i w:val="false"/>
          <w:strike w:val="false"/>
          <w:dstrike w:val="false"/>
          <w:outline w:val="false"/>
          <w:shadow w:val="false"/>
          <w:sz w:val="20"/>
          <w:szCs w:val="20"/>
          <w:highlight w:val="white"/>
          <w:u w:val="none"/>
          <w:em w:val="none"/>
        </w:rPr>
        <w:t>C</w:t>
      </w:r>
      <w:bookmarkStart w:id="4" w:name="__DdeLink__5694_1929480227"/>
      <w:r>
        <w:rPr>
          <w:rFonts w:eastAsia="Arial" w:cs="Times New Roman" w:ascii="Calibri" w:hAnsi="Calibri"/>
          <w:b w:val="false"/>
          <w:bCs w:val="false"/>
          <w:sz w:val="20"/>
          <w:szCs w:val="20"/>
        </w:rPr>
        <w:t>hefe do SFPC</w:t>
      </w:r>
      <w:bookmarkEnd w:id="4"/>
    </w:p>
    <w:sectPr>
      <w:headerReference w:type="default" r:id="rId12"/>
      <w:footerReference w:type="default" r:id="rId13"/>
      <w:type w:val="nextPage"/>
      <w:pgSz w:w="11906" w:h="16838"/>
      <w:pgMar w:left="1134" w:right="1134" w:header="709" w:top="1418" w:footer="709" w:bottom="1418" w:gutter="0"/>
      <w:pgNumType w:fmt="decimal"/>
      <w:formProt w:val="false"/>
      <w:textDirection w:val="lrTb"/>
      <w:docGrid w:type="default" w:linePitch="360" w:charSpace="0"/>
    </w:sectPr>
  </w:body>
</w:document>
</file>

<file path=word/comments.xml><?xml version="1.0" encoding="utf-8"?>
<w:comment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comment w:id="0" w:author="Autor" w:date="0-00-00T00:00:00Z" w:initials="A">
    <w:p>
      <w:r>
        <w:rPr>
          <w:rFonts w:ascii="Liberation Serif" w:hAnsi="Liberation Serif" w:eastAsia="Segoe UI"/>
          <w:b/>
          <w:bCs/>
          <w:i/>
          <w:iCs/>
          <w:lang w:val="en-US" w:eastAsia="en-US" w:bidi="en-US"/>
        </w:rPr>
        <w:t>ORIENTAÇÕES PARA USO DO MODELO – LEITURA OBRIGATÓRIA</w:t>
      </w:r>
    </w:p>
    <w:p>
      <w:r>
        <w:rPr>
          <w:rFonts w:ascii="Liberation Serif" w:hAnsi="Liberation Serif" w:eastAsia="Segoe UI"/>
          <w:b/>
          <w:bCs/>
          <w:i/>
          <w:iCs/>
          <w:lang w:val="en-US" w:eastAsia="en-US" w:bidi="en-US"/>
        </w:rPr>
        <w:t xml:space="preserve">1) </w:t>
      </w:r>
      <w:r>
        <w:rPr>
          <w:rFonts w:ascii="Liberation Serif" w:hAnsi="Liberation Serif" w:eastAsia="Segoe UI"/>
          <w:i/>
          <w:iCs/>
          <w:lang w:val="en-US" w:eastAsia="en-US" w:bidi="en-US"/>
        </w:rPr>
        <w:t xml:space="preserve">O presente modelo de Termo de Referência procura fornecer um ponto de partida para a definição do objeto e condições da contratação. </w:t>
      </w:r>
      <w:r>
        <w:rPr>
          <w:rFonts w:ascii="Liberation Serif" w:hAnsi="Liberation Serif" w:eastAsia="Segoe UI"/>
          <w:b/>
          <w:bCs/>
          <w:i/>
          <w:iCs/>
          <w:lang w:val="en-US" w:eastAsia="en-US" w:bidi="en-US"/>
        </w:rPr>
        <w:t>Este é o documento que mais terá variação de conteúdo, de acordo com as peculiaridades da demanda da Administração e do objeto a ser contratado.</w:t>
      </w:r>
      <w:r>
        <w:rPr>
          <w:rFonts w:ascii="Liberation Serif" w:hAnsi="Liberation Serif" w:eastAsia="Segoe UI"/>
          <w:i/>
          <w:iCs/>
          <w:lang w:val="en-US" w:eastAsia="en-US" w:bidi="en-US"/>
        </w:rPr>
        <w:t xml:space="preserve"> Assim, não se deve prender ao texto apresentado, mas sim trabalhá-lo à luz dos pontos fundamentais da contratação, sempre de forma clara e objetiva.</w:t>
      </w:r>
    </w:p>
    <w:p>
      <w:r>
        <w:rPr>
          <w:rFonts w:ascii="Liberation Serif" w:hAnsi="Liberation Serif" w:eastAsia="Segoe UI"/>
          <w:b/>
          <w:bCs/>
          <w:i/>
          <w:iCs/>
          <w:lang w:val="en-US" w:eastAsia="en-US" w:bidi="en-US"/>
        </w:rPr>
        <w:t xml:space="preserve">2) </w:t>
      </w:r>
      <w:r>
        <w:rPr>
          <w:rFonts w:ascii="Liberation Serif" w:hAnsi="Liberation Serif" w:eastAsia="Segoe UI"/>
          <w:i/>
          <w:iCs/>
          <w:lang w:val="en-US" w:eastAsia="en-US" w:bidi="en-US"/>
        </w:rPr>
        <w:t xml:space="preserve">A redação em preto consiste no que se espera ser invariável. Ela até pode sofrer modificações a depender do caso concreto, mas não são disposições feitas para variar. Por essa razão, </w:t>
      </w:r>
      <w:r>
        <w:rPr>
          <w:rFonts w:ascii="Liberation Serif" w:hAnsi="Liberation Serif" w:eastAsia="Segoe UI"/>
          <w:b/>
          <w:bCs/>
          <w:i/>
          <w:iCs/>
          <w:lang w:val="en-US" w:eastAsia="en-US" w:bidi="en-US"/>
        </w:rPr>
        <w:t>quaisquer modificações nas partes em preto, sem marcação de itálico, devem necessariamente ser justificadas nos autos</w:t>
      </w:r>
      <w:r>
        <w:rPr>
          <w:rFonts w:ascii="Liberation Serif" w:hAnsi="Liberation Serif" w:eastAsia="Segoe UI"/>
          <w:i/>
          <w:iCs/>
          <w:lang w:val="en-US" w:eastAsia="en-US" w:bidi="en-US"/>
        </w:rPr>
        <w:t>, sem prejuízo de eventual consulta ao órgão de assessoramento jurídico respectivo, a depender da matéria.</w:t>
      </w:r>
    </w:p>
    <w:p>
      <w:r>
        <w:rPr>
          <w:rFonts w:ascii="Liberation Serif" w:hAnsi="Liberation Serif" w:eastAsia="Segoe UI"/>
          <w:b/>
          <w:bCs/>
          <w:i/>
          <w:iCs/>
          <w:lang w:val="en-US" w:eastAsia="en-US" w:bidi="en-US"/>
        </w:rPr>
        <w:t>3) Os itens deste modelo destacados em vermelho itálico devem ser preenchidos ou adotados pelo órgão ou entidade pública contratante segundo critérios de oportunidade e conveniência</w:t>
      </w:r>
      <w:r>
        <w:rPr>
          <w:rFonts w:ascii="Liberation Serif" w:hAnsi="Liberation Serif" w:eastAsia="Segoe UI"/>
          <w:i/>
          <w:iCs/>
          <w:lang w:val="en-US" w:eastAsia="en-US" w:bidi="en-US"/>
        </w:rPr>
        <w:t>, de acordo com as peculiaridades do objeto e cuidando-se para que sejam reproduzidas as mesmas definições nos demais instrumentos da contratação (minuta de Termo de Contrato), para que não conflitem. São previsões feitas para variarem. Eventuais justificativas podem ser exigidas a depender do caso.</w:t>
      </w:r>
    </w:p>
    <w:p>
      <w:r>
        <w:rPr>
          <w:rFonts w:ascii="Liberation Serif" w:hAnsi="Liberation Serif" w:eastAsia="Segoe UI"/>
          <w:b/>
          <w:bCs/>
          <w:i/>
          <w:iCs/>
          <w:lang w:val="en-US" w:eastAsia="en-US" w:bidi="en-US"/>
        </w:rPr>
        <w:t>4) Alguns itens receberam notas explicativas, destacadas para compreensão do agente ou setor responsável pela elaboração do Termo de Referência</w:t>
      </w:r>
      <w:r>
        <w:rPr>
          <w:rFonts w:ascii="Liberation Serif" w:hAnsi="Liberation Serif" w:eastAsia="Segoe UI"/>
          <w:i/>
          <w:iCs/>
          <w:lang w:val="en-US" w:eastAsia="en-US" w:bidi="en-US"/>
        </w:rPr>
        <w:t>, que deverão ser devidamente suprimidas ao se finalizar o documento na versão original.</w:t>
      </w:r>
    </w:p>
    <w:p>
      <w:r>
        <w:rPr>
          <w:rFonts w:ascii="Liberation Serif" w:hAnsi="Liberation Serif" w:eastAsia="Segoe UI"/>
          <w:b/>
          <w:bCs/>
          <w:i/>
          <w:iCs/>
          <w:lang w:val="en-US" w:eastAsia="en-US" w:bidi="en-US"/>
        </w:rPr>
        <w:t>5) Recomenda-se indicar no processo a versão (mês e ano) utilizada para elaboração da minuta</w:t>
      </w:r>
      <w:r>
        <w:rPr>
          <w:rFonts w:ascii="Liberation Serif" w:hAnsi="Liberation Serif" w:eastAsia="Segoe UI"/>
          <w:i/>
          <w:iCs/>
          <w:lang w:val="en-US" w:eastAsia="en-US" w:bidi="en-US"/>
        </w:rPr>
        <w:t>, em especial ao encaminhar o feito para análise jurídica. Tal informação consta no rodapé do documento. Essa indicação pode ocorrer expressamente no despacho de encaminhamento ou mantendo-se o rodapé na minuta encaminhada, conforme o caso. É um dado importante já que indica qual o parâmetro a ser utilizado em eventual checagem.</w:t>
      </w:r>
    </w:p>
    <w:p>
      <w:r>
        <w:rPr>
          <w:rFonts w:ascii="Liberation Serif" w:hAnsi="Liberation Serif" w:eastAsia="Segoe UI"/>
          <w:b/>
          <w:bCs/>
          <w:i/>
          <w:iCs/>
          <w:lang w:val="en-US" w:eastAsia="en-US" w:bidi="en-US"/>
        </w:rPr>
        <w:t xml:space="preserve">6) </w:t>
      </w:r>
      <w:r>
        <w:rPr>
          <w:rFonts w:ascii="Liberation Serif" w:hAnsi="Liberation Serif" w:eastAsia="Segoe UI"/>
          <w:i/>
          <w:iCs/>
          <w:lang w:val="en-US" w:eastAsia="en-US" w:bidi="en-US"/>
        </w:rPr>
        <w:t>O Termo de Referência deve ser elaborado também no Sistema TR Digital ou em ferramenta informatizada própria (art. 4º da IN Seges/ME nº 81, de 25 de novembro de 2022).</w:t>
      </w:r>
    </w:p>
    <w:p>
      <w:r>
        <w:rPr>
          <w:rFonts w:ascii="Liberation Serif" w:hAnsi="Liberation Serif" w:eastAsia="Segoe UI"/>
          <w:b/>
          <w:bCs/>
          <w:i/>
          <w:iCs/>
          <w:lang w:val="en-US" w:eastAsia="en-US" w:bidi="en-US"/>
        </w:rPr>
        <w:t xml:space="preserve">7) </w:t>
      </w:r>
      <w:r>
        <w:rPr>
          <w:rFonts w:ascii="Liberation Serif" w:hAnsi="Liberation Serif" w:eastAsia="Segoe UI"/>
          <w:i/>
          <w:iCs/>
          <w:lang w:val="en-US" w:eastAsia="en-US" w:bidi="en-US"/>
        </w:rPr>
        <w:t>A elaboração do TR deve levar em conta o art. 3º, inciso I, da IN</w:t>
      </w:r>
    </w:p>
    <w:p>
      <w:r>
        <w:rPr>
          <w:rFonts w:ascii="Liberation Serif" w:hAnsi="Liberation Serif" w:eastAsia="Segoe UI"/>
          <w:i/>
          <w:iCs/>
          <w:lang w:val="en-US" w:eastAsia="en-US" w:bidi="en-US"/>
        </w:rPr>
        <w:t>Seges/ME nº 81, de 2022, que traz a seguinte definição de TR: “documento necessário para a contratação de bens e serviços, que deve conter os parâmetros e elementos descritivos estabelecidos no art. 9º, sendo</w:t>
      </w:r>
    </w:p>
    <w:p>
      <w:r>
        <w:rPr>
          <w:rFonts w:ascii="Liberation Serif" w:hAnsi="Liberation Serif" w:eastAsia="Segoe UI"/>
          <w:i/>
          <w:iCs/>
          <w:lang w:val="en-US" w:eastAsia="en-US" w:bidi="en-US"/>
        </w:rPr>
        <w:t>documento constitutivo da fase preparatória da instrução do processo de licitação”.</w:t>
      </w:r>
    </w:p>
    <w:p>
      <w:r>
        <w:rPr>
          <w:rFonts w:ascii="Liberation Serif" w:hAnsi="Liberation Serif" w:eastAsia="Segoe UI"/>
          <w:b/>
          <w:bCs/>
          <w:i/>
          <w:iCs/>
          <w:lang w:val="en-US" w:eastAsia="en-US" w:bidi="en-US"/>
        </w:rPr>
        <w:t xml:space="preserve">8) </w:t>
      </w:r>
      <w:r>
        <w:rPr>
          <w:rFonts w:ascii="Liberation Serif" w:hAnsi="Liberation Serif" w:eastAsia="Segoe UI"/>
          <w:i/>
          <w:iCs/>
          <w:lang w:val="en-US" w:eastAsia="en-US" w:bidi="en-US"/>
        </w:rPr>
        <w:t>A não utilização dos modelos de TR instituídos pela Secretaria de Gestão e Inovação, do Ministério da Gestão e da Inovação em Serviços Públicos deve ser justificada por escrito, com anexação ao respectivo processo de contratação, conforme art. 19, §2º, da</w:t>
      </w:r>
    </w:p>
    <w:p>
      <w:r>
        <w:rPr>
          <w:rFonts w:ascii="Liberation Serif" w:hAnsi="Liberation Serif" w:eastAsia="Segoe UI"/>
          <w:i/>
          <w:iCs/>
          <w:lang w:val="en-US" w:eastAsia="en-US" w:bidi="en-US"/>
        </w:rPr>
        <w:t>Lei nº 14.133, de 2021 e art. 9º, §3º da IN Seges/ME nº 81, de 2022.</w:t>
      </w:r>
    </w:p>
    <w:p>
      <w:r>
        <w:rPr>
          <w:rFonts w:ascii="Liberation Serif" w:hAnsi="Liberation Serif" w:eastAsia="Segoe UI"/>
          <w:b/>
          <w:bCs/>
          <w:i/>
          <w:iCs/>
          <w:lang w:val="en-US" w:eastAsia="en-US" w:bidi="en-US"/>
        </w:rPr>
        <w:t xml:space="preserve">9) </w:t>
      </w:r>
      <w:r>
        <w:rPr>
          <w:rFonts w:ascii="Liberation Serif" w:hAnsi="Liberation Serif" w:eastAsia="Segoe UI"/>
          <w:i/>
          <w:iCs/>
          <w:lang w:val="en-US" w:eastAsia="en-US" w:bidi="en-US"/>
        </w:rPr>
        <w:t>A fim de aprimorar as atividades da Administração, a elaboração dos estudos preliminares e do TR deve levar em conta o relatório final com informações de contratação anterior, nos termos da alínea “d” do inciso VI do § 3º do art. 174 da Lei nº 14.133, de 2021 e inciso VI do art. 21 do Decreto nº 11.246, de 27 de outubro de 2022. Caso referido relatório não tenha sido elaborado, o processo deve ser enriquecido com essa informação,</w:t>
      </w:r>
    </w:p>
    <w:p>
      <w:r>
        <w:rPr>
          <w:rFonts w:ascii="Liberation Serif" w:hAnsi="Liberation Serif" w:eastAsia="Segoe UI"/>
          <w:i/>
          <w:iCs/>
          <w:lang w:val="en-US" w:eastAsia="en-US" w:bidi="en-US"/>
        </w:rPr>
        <w:t>devendo o gestor do contrato cuidar de elaborá-lo ao fim da contratação que será efetivada.</w:t>
      </w:r>
    </w:p>
    <w:p>
      <w:r>
        <w:rPr>
          <w:rFonts w:ascii="Liberation Serif" w:hAnsi="Liberation Serif" w:eastAsia="Segoe UI"/>
          <w:b/>
          <w:bCs/>
          <w:i/>
          <w:iCs/>
          <w:lang w:val="en-US" w:eastAsia="en-US" w:bidi="en-US"/>
        </w:rPr>
        <w:t>10)</w:t>
      </w:r>
      <w:r>
        <w:rPr>
          <w:rFonts w:ascii="Liberation Serif" w:hAnsi="Liberation Serif" w:eastAsia="Segoe UI"/>
          <w:i/>
          <w:iCs/>
          <w:lang w:val="en-US" w:eastAsia="en-US" w:bidi="en-US"/>
        </w:rPr>
        <w:t xml:space="preserve"> Este modelo poderá ser adotado por todos os entes federados, conforme estabelece o inciso IV do art. 19 da Lei nº 14.133, de 1º de abril de 2021, com a realização das adequações eventualmente necessárias, sobretudo em virtude da possível existência de normas locais específicas, que poderão ser consideradas no caso concreto.</w:t>
      </w:r>
    </w:p>
    <w:p>
      <w:r>
        <w:rPr>
          <w:rFonts w:ascii="Liberation Serif" w:hAnsi="Liberation Serif" w:eastAsia="Segoe UI"/>
          <w:b/>
          <w:bCs/>
          <w:i/>
          <w:iCs/>
          <w:lang w:val="en-US" w:eastAsia="en-US" w:bidi="en-US"/>
        </w:rPr>
        <w:t xml:space="preserve">11) </w:t>
      </w:r>
      <w:r>
        <w:rPr>
          <w:rFonts w:ascii="Liberation Serif" w:hAnsi="Liberation Serif" w:eastAsia="Segoe UI"/>
          <w:i/>
          <w:iCs/>
          <w:lang w:val="en-US" w:eastAsia="en-US" w:bidi="en-US"/>
        </w:rPr>
        <w:t>Quaisquer sugestões de</w:t>
      </w:r>
    </w:p>
    <w:p>
      <w:r>
        <w:rPr>
          <w:rFonts w:ascii="Liberation Serif" w:hAnsi="Liberation Serif" w:eastAsia="Segoe UI"/>
          <w:i/>
          <w:iCs/>
          <w:lang w:val="en-US" w:eastAsia="en-US" w:bidi="en-US"/>
        </w:rPr>
        <w:t xml:space="preserve">alteração poderão ser encaminhadas ao e-mail: </w:t>
      </w:r>
      <w:hyperlink r:id="rId1">
        <w:r>
          <w:rPr>
            <w:rFonts w:ascii="Liberation Serif" w:hAnsi="Liberation Serif" w:eastAsia="Segoe UI"/>
            <w:i/>
            <w:iCs/>
            <w:lang w:val="en-US" w:eastAsia="en-US" w:bidi="en-US"/>
          </w:rPr>
          <w:t>cgu.modeloscontratacao@agu.gov.br</w:t>
        </w:r>
      </w:hyperlink>
      <w:r>
        <w:rPr>
          <w:rFonts w:ascii="Liberation Serif" w:hAnsi="Liberation Serif" w:eastAsia="Segoe UI"/>
          <w:i/>
          <w:iCs/>
          <w:lang w:val="en-US" w:eastAsia="en-US" w:bidi="en-US"/>
        </w:rPr>
        <w:t>.</w:t>
      </w:r>
    </w:p>
  </w:comment>
  <w:comment w:id="1" w:author="Autor" w:date="0-00-00T00:00:00Z" w:initials="A">
    <w:p>
      <w:r>
        <w:rPr>
          <w:rFonts w:ascii="Liberation Serif" w:hAnsi="Liberation Serif" w:eastAsia="Segoe UI"/>
          <w:b/>
          <w:bCs/>
          <w:i/>
          <w:iCs/>
          <w:lang w:val="en-US" w:eastAsia="en-US" w:bidi="en-US"/>
        </w:rPr>
        <w:t>Nota Explicativa 1:</w:t>
      </w:r>
      <w:r>
        <w:rPr>
          <w:rFonts w:ascii="Liberation Serif" w:hAnsi="Liberation Serif" w:eastAsia="Segoe UI"/>
          <w:i/>
          <w:iCs/>
          <w:lang w:val="en-US" w:eastAsia="en-US" w:bidi="en-US"/>
        </w:rPr>
        <w:t xml:space="preserve"> A tabela é meramente ilustrativa, podendo ser livremente alterada conforme o caso concreto. </w:t>
      </w:r>
    </w:p>
    <w:p>
      <w:r>
        <w:rPr>
          <w:rFonts w:ascii="Liberation Serif" w:hAnsi="Liberation Serif" w:eastAsia="Segoe UI"/>
          <w:lang w:val="en-US" w:eastAsia="en-US" w:bidi="en-US"/>
        </w:rPr>
      </w:r>
    </w:p>
    <w:p>
      <w:r>
        <w:rPr>
          <w:rFonts w:ascii="Liberation Serif" w:hAnsi="Liberation Serif" w:eastAsia="Segoe UI"/>
          <w:b/>
          <w:bCs/>
          <w:i/>
          <w:iCs/>
          <w:lang w:val="en-US" w:eastAsia="en-US" w:bidi="en-US"/>
        </w:rPr>
        <w:t>Nota Explicativa 2:</w:t>
      </w:r>
      <w:r>
        <w:rPr>
          <w:rFonts w:ascii="Liberation Serif" w:hAnsi="Liberation Serif" w:eastAsia="Segoe UI"/>
          <w:i/>
          <w:iCs/>
          <w:lang w:val="en-US" w:eastAsia="en-US" w:bidi="en-US"/>
        </w:rPr>
        <w:t xml:space="preserve"> A justificativa para o parcelamento ou não do objeto deve constar do Estudo Técnico Preliminar (art. 18, §1º, inciso VIII, da Lei nº 14.133/, de 2021, e art. 9º, inciso VII, da Instrução Normativa SEGES nº 58, de 8 de agosto de 2022). As compras, como regra, devem atender ao parcelamento quando for tecnicamente viável e economicamente vantajoso (art. 40, inciso V, alínea b, da Lei nº 14.133, de 2021). Devem também ser observadas as regras do artigo 40, §§ 2º e 3º, da Lei nº 14.133, de 2021, que trata de aspectos a serem considerados na aplicação do princípio do parcelamento.</w:t>
      </w:r>
    </w:p>
    <w:p>
      <w:r>
        <w:rPr>
          <w:rFonts w:ascii="Liberation Serif" w:hAnsi="Liberation Serif" w:eastAsia="Segoe UI"/>
          <w:i/>
          <w:iCs/>
          <w:lang w:val="en-US" w:eastAsia="en-US" w:bidi="en-US"/>
        </w:rPr>
        <w:t xml:space="preserve"> </w:t>
      </w:r>
    </w:p>
    <w:p>
      <w:r>
        <w:rPr>
          <w:rFonts w:ascii="Liberation Serif" w:hAnsi="Liberation Serif" w:eastAsia="Segoe UI"/>
          <w:b/>
          <w:bCs/>
          <w:i/>
          <w:iCs/>
          <w:lang w:val="en-US" w:eastAsia="en-US" w:bidi="en-US"/>
        </w:rPr>
        <w:t>Nota Explicativa 3:</w:t>
      </w:r>
      <w:r>
        <w:rPr>
          <w:rFonts w:ascii="Liberation Serif" w:hAnsi="Liberation Serif" w:eastAsia="Segoe UI"/>
          <w:i/>
          <w:iCs/>
          <w:lang w:val="en-US" w:eastAsia="en-US" w:bidi="en-US"/>
        </w:rPr>
        <w:t xml:space="preserve"> O Parcelamento usualmente não é ponto verificado em contratações diretas, já que estas podem não ser feitas em regime competitivo. No entanto, no caso de se tratar de dispensa de pequeno valor feita pelo sistema de dispensa eletrônica ou qualquer outro caso de dispensa submetida a algum regime competitivo, a análise sobre o parcelamento deverá ocorrer nos moldes mencionados.</w:t>
      </w:r>
    </w:p>
    <w:p>
      <w:r>
        <w:rPr>
          <w:rFonts w:ascii="Liberation Serif" w:hAnsi="Liberation Serif" w:eastAsia="Segoe UI"/>
          <w:lang w:val="en-US" w:eastAsia="en-US" w:bidi="en-US"/>
        </w:rPr>
      </w:r>
    </w:p>
    <w:p>
      <w:r>
        <w:rPr>
          <w:rFonts w:ascii="Liberation Serif" w:hAnsi="Liberation Serif" w:eastAsia="Segoe UI"/>
          <w:b/>
          <w:bCs/>
          <w:i/>
          <w:iCs/>
          <w:lang w:val="en-US" w:eastAsia="en-US" w:bidi="en-US"/>
        </w:rPr>
        <w:t>Nota Explicativa 4:</w:t>
      </w:r>
      <w:r>
        <w:rPr>
          <w:rFonts w:ascii="Liberation Serif" w:hAnsi="Liberation Serif" w:eastAsia="Segoe UI"/>
          <w:i/>
          <w:iCs/>
          <w:lang w:val="en-US" w:eastAsia="en-US" w:bidi="en-US"/>
        </w:rPr>
        <w:t xml:space="preserve"> </w:t>
      </w:r>
      <w:r>
        <w:rPr>
          <w:rFonts w:ascii="Liberation Serif" w:hAnsi="Liberation Serif" w:eastAsia="Segoe UI"/>
          <w:lang w:val="en-US" w:eastAsia="en-US" w:bidi="en-US"/>
        </w:rPr>
        <w:t>Os itens</w:t>
      </w:r>
      <w:r>
        <w:rPr>
          <w:rFonts w:ascii="Liberation Serif" w:hAnsi="Liberation Serif" w:eastAsia="Segoe UI"/>
          <w:i/>
          <w:iCs/>
          <w:lang w:val="en-US" w:eastAsia="en-US" w:bidi="en-US"/>
        </w:rPr>
        <w:t xml:space="preserve"> de valor correspondente a até R$ 80.000,00 deve ser garantida a participação exclusiva de microempresa e Empresa de Pequeno Porte (ME e EPP), conforme artigo 48, inciso I, da Lei Complementar nº 123, de 14 de dezembro de 2006, e artigo 6º do Decreto nº 8.538, de 06 de outubro de 2015).</w:t>
      </w:r>
    </w:p>
  </w:comment>
  <w:comment w:id="2" w:author="Autor" w:date="0-00-00T00:00:00Z" w:initials="A">
    <w:p>
      <w:r>
        <w:rPr>
          <w:rFonts w:ascii="Liberation Serif" w:hAnsi="Liberation Serif" w:eastAsia="Segoe UI"/>
          <w:b/>
          <w:bCs/>
          <w:i/>
          <w:iCs/>
          <w:color w:val="000000"/>
          <w:lang w:val="en-US" w:eastAsia="en-US" w:bidi="en-US"/>
        </w:rPr>
        <w:t xml:space="preserve">Nota Explicativa: Vedação quanto à aquisição de itens de luxo - </w:t>
      </w:r>
      <w:r>
        <w:rPr>
          <w:rFonts w:ascii="Liberation Serif" w:hAnsi="Liberation Serif" w:eastAsia="Segoe UI"/>
          <w:i/>
          <w:iCs/>
          <w:color w:val="000000"/>
          <w:lang w:val="en-US" w:eastAsia="en-US" w:bidi="en-US"/>
        </w:rPr>
        <w:t xml:space="preserve">O artigo 20 da Lei nº 14.133, de 2021, estabelece que os itens de consumo deverão ser de qualidade comum, não superior à necessária para cumprir as finalidades às quais se destinam, vedada a aquisição de artigos de luxo. O Decreto nº 10.818, de 2021 regulamentou o tema, devendo as vedações nele estabelecidas serem respeitadas pelo administrador público. </w:t>
      </w:r>
    </w:p>
  </w:comment>
  <w:comment w:id="3" w:author="Autor" w:date="0-00-00T00:00:00Z" w:initials="A">
    <w:p>
      <w:r>
        <w:rPr>
          <w:rFonts w:ascii="Liberation Serif" w:hAnsi="Liberation Serif" w:eastAsia="Segoe UI"/>
          <w:b/>
          <w:bCs/>
          <w:i/>
          <w:iCs/>
          <w:lang w:val="en-US" w:eastAsia="en-US" w:bidi="en-US"/>
        </w:rPr>
        <w:t>Nota Explicativa:</w:t>
      </w:r>
      <w:r>
        <w:rPr>
          <w:rFonts w:ascii="Liberation Serif" w:hAnsi="Liberation Serif" w:eastAsia="Segoe UI"/>
          <w:i/>
          <w:iCs/>
          <w:lang w:val="en-US" w:eastAsia="en-US" w:bidi="en-US"/>
        </w:rPr>
        <w:t xml:space="preserve"> De acordo com o artigo 6º, inciso XXIII, alínea ‘c’, da Lei nº 14.133, de 2021, a fundamentação da contratação é realizada mediante “referência aos estudos técnicos preliminares (ETP) correspondentes ou, quando não for possível divulgar esses estudos, no extrato das partes que não contiverem informações sigilosas”.  A Instrução Normativa SEGES/ME nº 58, de 8 de agosto de 2022, dispõe sobre a “elaboração do ETP, para a aquisição de bens e a contratação de serviços e obras no âmbito da administração pública federal direta, autárquica e fundacional, e sobre o Sistema ETP digital”. No mesmo sentido é a previsão do art. 9º, inciso II, da Instrução Normativa Seges/ME nº 81, de 2022.</w:t>
      </w:r>
    </w:p>
  </w:comment>
  <w:comment w:id="4" w:author="Autor" w:date="0-00-00T00:00:00Z" w:initials="A">
    <w:p>
      <w:r>
        <w:rPr>
          <w:rFonts w:ascii="Liberation Serif" w:hAnsi="Liberation Serif" w:eastAsia="Segoe UI"/>
          <w:b/>
          <w:bCs/>
          <w:i/>
          <w:iCs/>
          <w:lang w:val="en-US" w:eastAsia="en-US" w:bidi="en-US"/>
        </w:rPr>
        <w:t>Nota Explicativa 1:</w:t>
      </w:r>
      <w:r>
        <w:rPr>
          <w:rFonts w:ascii="Liberation Serif" w:hAnsi="Liberation Serif" w:eastAsia="Segoe UI"/>
          <w:i/>
          <w:iCs/>
          <w:lang w:val="en-US" w:eastAsia="en-US" w:bidi="en-US"/>
        </w:rPr>
        <w:t xml:space="preserve"> Artigo 18, §1º, da Lei nº 14.133, de 2021, contém a seguinte redação: </w:t>
      </w:r>
    </w:p>
    <w:p>
      <w:r>
        <w:rPr>
          <w:rFonts w:ascii="Liberation Serif" w:hAnsi="Liberation Serif" w:eastAsia="Segoe UI"/>
          <w:i/>
          <w:iCs/>
          <w:lang w:val="en-US" w:eastAsia="en-US" w:bidi="en-US"/>
        </w:rPr>
        <w:t>§ 1º O estudo técnico</w:t>
      </w:r>
    </w:p>
    <w:p>
      <w:r>
        <w:rPr>
          <w:rFonts w:ascii="Liberation Serif" w:hAnsi="Liberation Serif" w:eastAsia="Segoe UI"/>
          <w:i/>
          <w:iCs/>
          <w:lang w:val="en-US" w:eastAsia="en-US" w:bidi="en-US"/>
        </w:rPr>
        <w:t>preliminar a que se refere o inciso I do caput deste artigo deverá evidenciar o</w:t>
      </w:r>
    </w:p>
    <w:p>
      <w:r>
        <w:rPr>
          <w:rFonts w:ascii="Liberation Serif" w:hAnsi="Liberation Serif" w:eastAsia="Segoe UI"/>
          <w:i/>
          <w:iCs/>
          <w:lang w:val="en-US" w:eastAsia="en-US" w:bidi="en-US"/>
        </w:rPr>
        <w:t>problema a ser resolvido e a sua melhor solução, de modo a permitir a avaliação da viabilidade técnica e econômica da contratação, e conterá os seguintes elementos:</w:t>
      </w:r>
    </w:p>
    <w:p>
      <w:r>
        <w:rPr>
          <w:rFonts w:ascii="Liberation Serif" w:hAnsi="Liberation Serif" w:eastAsia="Segoe UI"/>
          <w:i/>
          <w:iCs/>
          <w:lang w:val="en-US" w:eastAsia="en-US" w:bidi="en-US"/>
        </w:rPr>
        <w:t xml:space="preserve">(...)VII - descrição da solução como um todo, inclusive das exigências relacionadas à manutenção e à assistência técnica, quando for o caso. </w:t>
      </w:r>
    </w:p>
    <w:p>
      <w:r>
        <w:rPr>
          <w:rFonts w:ascii="Liberation Serif" w:hAnsi="Liberation Serif" w:eastAsia="Segoe UI"/>
          <w:lang w:val="en-US" w:eastAsia="en-US" w:bidi="en-US"/>
        </w:rPr>
      </w:r>
    </w:p>
    <w:p>
      <w:r>
        <w:rPr>
          <w:rFonts w:ascii="Liberation Serif" w:hAnsi="Liberation Serif" w:eastAsia="Segoe UI"/>
          <w:i/>
          <w:iCs/>
          <w:lang w:val="en-US" w:eastAsia="en-US" w:bidi="en-US"/>
        </w:rPr>
        <w:t>Ver também Instrução Normativa SEGES/ME nº 58, de 08 de agosto de 2022 (ETP), art. 3º, inciso I e art. 6º.</w:t>
      </w:r>
    </w:p>
    <w:p>
      <w:r>
        <w:rPr>
          <w:rFonts w:ascii="Liberation Serif" w:hAnsi="Liberation Serif" w:eastAsia="Segoe UI"/>
          <w:i/>
          <w:iCs/>
          <w:lang w:val="en-US" w:eastAsia="en-US" w:bidi="en-US"/>
        </w:rPr>
        <w:t>Caso haja a necessidade de modificação da descrição em relação à originalmente feita nos estudos técnicos preliminares, recomenda-se essa redação, para que passe a contemplar essa alteração.</w:t>
      </w:r>
    </w:p>
    <w:p>
      <w:r>
        <w:rPr>
          <w:rFonts w:ascii="Liberation Serif" w:hAnsi="Liberation Serif" w:eastAsia="Segoe UI"/>
          <w:lang w:val="en-US" w:eastAsia="en-US" w:bidi="en-US"/>
        </w:rPr>
      </w:r>
    </w:p>
    <w:p>
      <w:r>
        <w:rPr>
          <w:rFonts w:ascii="Liberation Serif" w:hAnsi="Liberation Serif" w:eastAsia="Segoe UI"/>
          <w:i/>
          <w:iCs/>
          <w:lang w:val="en-US" w:eastAsia="en-US" w:bidi="en-US"/>
        </w:rPr>
        <w:t>A Instrução Normativa Seges/ME nº 81, de 2022, também trata da necessidade de descrição da solução como um todo, considerado todo o ciclo de vida do objeto, com preferência a arranjos inovadores em sede de economia circular, conforme seu artigo 9º, inciso III.</w:t>
      </w:r>
    </w:p>
    <w:p>
      <w:r>
        <w:rPr>
          <w:rFonts w:ascii="Liberation Serif" w:hAnsi="Liberation Serif" w:eastAsia="Segoe UI"/>
          <w:lang w:val="en-US" w:eastAsia="en-US" w:bidi="en-US"/>
        </w:rPr>
      </w:r>
    </w:p>
    <w:p>
      <w:r>
        <w:rPr>
          <w:rFonts w:ascii="Liberation Serif" w:hAnsi="Liberation Serif" w:eastAsia="Segoe UI"/>
          <w:b/>
          <w:bCs/>
          <w:i/>
          <w:iCs/>
          <w:lang w:val="en-US" w:eastAsia="en-US" w:bidi="en-US"/>
        </w:rPr>
        <w:t>Nota Explicativa 2:</w:t>
      </w:r>
      <w:r>
        <w:rPr>
          <w:rFonts w:ascii="Liberation Serif" w:hAnsi="Liberation Serif" w:eastAsia="Segoe UI"/>
          <w:i/>
          <w:iCs/>
          <w:lang w:val="en-US" w:eastAsia="en-US" w:bidi="en-US"/>
        </w:rPr>
        <w:t xml:space="preserve"> A Instrução Normativa SEGES/ME nº 73, de 30 de setembro de 2022, em seu art. 9º, §1º, estabelece que os custos indiretos, relacionados às despesas de manutenção, utilização, reposição,</w:t>
      </w:r>
    </w:p>
    <w:p>
      <w:r>
        <w:rPr>
          <w:rFonts w:ascii="Liberation Serif" w:hAnsi="Liberation Serif" w:eastAsia="Segoe UI"/>
          <w:i/>
          <w:iCs/>
          <w:lang w:val="en-US" w:eastAsia="en-US" w:bidi="en-US"/>
        </w:rPr>
        <w:t>depreciação e impacto ambiental, entre outros fatores vinculados ao seu ciclo de vida, poderão ser considerados para a definição do menor dispêndio, sempre que objetivamente mensuráveis, conforme parâmetros definidos em regulamento, de acordo com o § 1º do art. 34 da Lei nº 14.133, de 2021. Logo, a definição do menor dispêndio para Administração deve levar em consideração esse aspecto.</w:t>
      </w:r>
    </w:p>
    <w:p>
      <w:r>
        <w:rPr>
          <w:rFonts w:ascii="Liberation Serif" w:hAnsi="Liberation Serif" w:eastAsia="Segoe UI"/>
          <w:lang w:val="en-US" w:eastAsia="en-US" w:bidi="en-US"/>
        </w:rPr>
      </w:r>
    </w:p>
    <w:p>
      <w:r>
        <w:rPr>
          <w:rFonts w:ascii="Liberation Serif" w:hAnsi="Liberation Serif" w:eastAsia="Segoe UI"/>
          <w:b/>
          <w:bCs/>
          <w:i/>
          <w:iCs/>
          <w:lang w:val="en-US" w:eastAsia="en-US" w:bidi="en-US"/>
        </w:rPr>
        <w:t xml:space="preserve">Nota Explicativa 3: </w:t>
      </w:r>
      <w:r>
        <w:rPr>
          <w:rFonts w:ascii="Liberation Serif" w:hAnsi="Liberation Serif" w:eastAsia="Segoe UI"/>
          <w:i/>
          <w:iCs/>
          <w:lang w:val="en-US" w:eastAsia="en-US" w:bidi="en-US"/>
        </w:rPr>
        <w:t>O</w:t>
      </w:r>
    </w:p>
    <w:p>
      <w:r>
        <w:rPr>
          <w:rFonts w:ascii="Liberation Serif" w:hAnsi="Liberation Serif" w:eastAsia="Segoe UI"/>
          <w:i/>
          <w:iCs/>
          <w:lang w:val="en-US" w:eastAsia="en-US" w:bidi="en-US"/>
        </w:rPr>
        <w:t>objeto deve ser descrito de forma detalhada, com todas as especificações</w:t>
      </w:r>
    </w:p>
    <w:p>
      <w:r>
        <w:rPr>
          <w:rFonts w:ascii="Liberation Serif" w:hAnsi="Liberation Serif" w:eastAsia="Segoe UI"/>
          <w:i/>
          <w:iCs/>
          <w:lang w:val="en-US" w:eastAsia="en-US" w:bidi="en-US"/>
        </w:rPr>
        <w:t>necessárias e suficientes para garantir a qualidade da contração, cuidando-se</w:t>
      </w:r>
    </w:p>
    <w:p>
      <w:r>
        <w:rPr>
          <w:rFonts w:ascii="Liberation Serif" w:hAnsi="Liberation Serif" w:eastAsia="Segoe UI"/>
          <w:i/>
          <w:iCs/>
          <w:lang w:val="en-US" w:eastAsia="en-US" w:bidi="en-US"/>
        </w:rPr>
        <w:t>para que não sejam admitidas, previstas ou incluídas condições impertinentes ou irrelevantes para o específico objeto do contrato.</w:t>
      </w:r>
    </w:p>
    <w:p>
      <w:r>
        <w:rPr>
          <w:rFonts w:ascii="Liberation Serif" w:hAnsi="Liberation Serif" w:eastAsia="Segoe UI"/>
          <w:i/>
          <w:iCs/>
          <w:lang w:val="en-US" w:eastAsia="en-US" w:bidi="en-US"/>
        </w:rPr>
        <w:t>Deve-se levar em consideração as normas técnicas eventualmente existentes, elaboradas pela Associação Brasileira de Normas Técnicas – ABNT, quanto a requisitos mínimos de qualidade, utilidade, resistência e segurança, nos termos da Lei n° 4.150, de 21 de novembro de 1962.</w:t>
      </w:r>
    </w:p>
    <w:p>
      <w:r>
        <w:rPr>
          <w:rFonts w:ascii="Liberation Serif" w:hAnsi="Liberation Serif" w:eastAsia="Segoe UI"/>
          <w:lang w:val="en-US" w:eastAsia="en-US" w:bidi="en-US"/>
        </w:rPr>
      </w:r>
    </w:p>
    <w:p>
      <w:r>
        <w:rPr>
          <w:rFonts w:ascii="Liberation Serif" w:hAnsi="Liberation Serif" w:eastAsia="Segoe UI"/>
          <w:b/>
          <w:bCs/>
          <w:i/>
          <w:iCs/>
          <w:lang w:val="en-US" w:eastAsia="en-US" w:bidi="en-US"/>
        </w:rPr>
        <w:t xml:space="preserve">Nota Explicativa 4: </w:t>
      </w:r>
      <w:r>
        <w:rPr>
          <w:rFonts w:ascii="Liberation Serif" w:hAnsi="Liberation Serif" w:eastAsia="Segoe UI"/>
          <w:i/>
          <w:iCs/>
          <w:lang w:val="en-US" w:eastAsia="en-US" w:bidi="en-US"/>
        </w:rPr>
        <w:t>O art. 6º, XXIII, “c”, da Lei nº 14.133, de 2021, e o art. 9º, IIII, da Instrução Normativa Seges/ME nº 81, de 2022,</w:t>
      </w:r>
    </w:p>
    <w:p>
      <w:r>
        <w:rPr>
          <w:rFonts w:ascii="Liberation Serif" w:hAnsi="Liberation Serif" w:eastAsia="Segoe UI"/>
          <w:i/>
          <w:iCs/>
          <w:lang w:val="en-US" w:eastAsia="en-US" w:bidi="en-US"/>
        </w:rPr>
        <w:t>dispõem que a descrição da solução como um todo deve considerar todo o</w:t>
      </w:r>
    </w:p>
    <w:p>
      <w:r>
        <w:rPr>
          <w:rFonts w:ascii="Liberation Serif" w:hAnsi="Liberation Serif" w:eastAsia="Segoe UI"/>
          <w:i/>
          <w:iCs/>
          <w:lang w:val="en-US" w:eastAsia="en-US" w:bidi="en-US"/>
        </w:rPr>
        <w:t>ciclo de vida do objeto. “Ciclo de Vida” é definido no art. 3º da Lei nº 12.305, de 02 de agosto de 2010, como sendo “série de etapas que envolvem o desenvolvimento do</w:t>
      </w:r>
    </w:p>
    <w:p>
      <w:r>
        <w:rPr>
          <w:rFonts w:ascii="Liberation Serif" w:hAnsi="Liberation Serif" w:eastAsia="Segoe UI"/>
          <w:i/>
          <w:iCs/>
          <w:lang w:val="en-US" w:eastAsia="en-US" w:bidi="en-US"/>
        </w:rPr>
        <w:t>produto, a obtenção de matérias-primas e insumos, o processo produtivo, o consumo e a disposição final”. Desse modo, a descrição da solução deve considerar não só suas características intrínsecas ao uso em si, mas também eventual sustentabilidade de sua produção, duração de seu consumo (se é menos</w:t>
      </w:r>
    </w:p>
    <w:p>
      <w:r>
        <w:rPr>
          <w:rFonts w:ascii="Liberation Serif" w:hAnsi="Liberation Serif" w:eastAsia="Segoe UI"/>
          <w:i/>
          <w:iCs/>
          <w:lang w:val="en-US" w:eastAsia="en-US" w:bidi="en-US"/>
        </w:rPr>
        <w:t xml:space="preserve">ou mais durável) até a destinação final. </w:t>
      </w:r>
      <w:r>
        <w:rPr>
          <w:rFonts w:ascii="Liberation Serif" w:hAnsi="Liberation Serif" w:eastAsia="Segoe UI"/>
          <w:b/>
          <w:bCs/>
          <w:i/>
          <w:iCs/>
          <w:lang w:val="en-US" w:eastAsia="en-US" w:bidi="en-US"/>
        </w:rPr>
        <w:t xml:space="preserve">Reitere-se: </w:t>
      </w:r>
      <w:r>
        <w:rPr>
          <w:rFonts w:ascii="Liberation Serif" w:hAnsi="Liberation Serif" w:eastAsia="Segoe UI"/>
          <w:b/>
          <w:bCs/>
          <w:lang w:val="en-US" w:eastAsia="en-US" w:bidi="en-US"/>
        </w:rPr>
        <w:t>se a descrição contida no ETP não contiver esse ponto, deve ser complementada</w:t>
      </w:r>
    </w:p>
    <w:p>
      <w:r>
        <w:rPr>
          <w:rFonts w:ascii="Liberation Serif" w:hAnsi="Liberation Serif" w:eastAsia="Segoe UI"/>
          <w:b/>
          <w:bCs/>
          <w:lang w:val="en-US" w:eastAsia="en-US" w:bidi="en-US"/>
        </w:rPr>
        <w:t>neste TR</w:t>
      </w:r>
      <w:r>
        <w:rPr>
          <w:rFonts w:ascii="Liberation Serif" w:hAnsi="Liberation Serif" w:eastAsia="Segoe UI"/>
          <w:i/>
          <w:iCs/>
          <w:lang w:val="en-US" w:eastAsia="en-US" w:bidi="en-US"/>
        </w:rPr>
        <w:t>.</w:t>
      </w:r>
    </w:p>
    <w:p>
      <w:r>
        <w:rPr>
          <w:rFonts w:ascii="Liberation Serif" w:hAnsi="Liberation Serif" w:eastAsia="Segoe UI"/>
          <w:lang w:val="en-US" w:eastAsia="en-US" w:bidi="en-US"/>
        </w:rPr>
      </w:r>
    </w:p>
    <w:p>
      <w:r>
        <w:rPr>
          <w:rFonts w:ascii="Liberation Serif" w:hAnsi="Liberation Serif" w:eastAsia="Segoe UI"/>
          <w:b/>
          <w:bCs/>
          <w:i/>
          <w:iCs/>
          <w:lang w:val="en-US" w:eastAsia="en-US" w:bidi="en-US"/>
        </w:rPr>
        <w:t>Nota Explicativa 5:</w:t>
      </w:r>
      <w:r>
        <w:rPr>
          <w:rFonts w:ascii="Liberation Serif" w:hAnsi="Liberation Serif" w:eastAsia="Segoe UI"/>
          <w:i/>
          <w:iCs/>
          <w:lang w:val="en-US" w:eastAsia="en-US" w:bidi="en-US"/>
        </w:rPr>
        <w:t xml:space="preserve"> O art. 40, §1º, inciso I, da Lei nº 14.133, de 2021, e o</w:t>
      </w:r>
    </w:p>
    <w:p>
      <w:r>
        <w:rPr>
          <w:rFonts w:ascii="Liberation Serif" w:hAnsi="Liberation Serif" w:eastAsia="Segoe UI"/>
          <w:i/>
          <w:iCs/>
          <w:lang w:val="en-US" w:eastAsia="en-US" w:bidi="en-US"/>
        </w:rPr>
        <w:t>art. 9º, inciso I, alínea b, da Instrução Normativa Seges/ME nº 81, de 2022, estabelece que deve ser feita a especificação do produto/bem/serviço, preferencialmente conforme catálogo eletrônico de padronização, observados os requisitos de qualidade, rendimento, compatibilidade, durabilidade e segurança”. A Portaria</w:t>
      </w:r>
    </w:p>
    <w:p>
      <w:r>
        <w:rPr>
          <w:rFonts w:ascii="Liberation Serif" w:hAnsi="Liberation Serif" w:eastAsia="Segoe UI"/>
          <w:i/>
          <w:iCs/>
          <w:lang w:val="en-US" w:eastAsia="en-US" w:bidi="en-US"/>
        </w:rPr>
        <w:t>SEGES/ME nº 938, de 02 de fevereiro de 2022, instituiu o catálogo eletrônico de padronização, o qual deverá ser</w:t>
      </w:r>
    </w:p>
    <w:p>
      <w:r>
        <w:rPr>
          <w:rFonts w:ascii="Liberation Serif" w:hAnsi="Liberation Serif" w:eastAsia="Segoe UI"/>
          <w:i/>
          <w:iCs/>
          <w:lang w:val="en-US" w:eastAsia="en-US" w:bidi="en-US"/>
        </w:rPr>
        <w:t>consultado para verificar se a contratação almejada está contemplada em seus termos. Em existindo padronização aprovada, ela deve ser considerada e eventual</w:t>
      </w:r>
    </w:p>
    <w:p>
      <w:r>
        <w:rPr>
          <w:rFonts w:ascii="Liberation Serif" w:hAnsi="Liberation Serif" w:eastAsia="Segoe UI"/>
          <w:i/>
          <w:iCs/>
          <w:lang w:val="en-US" w:eastAsia="en-US" w:bidi="en-US"/>
        </w:rPr>
        <w:t>não-uso justificado nos autos.</w:t>
      </w:r>
    </w:p>
    <w:p>
      <w:r>
        <w:rPr>
          <w:rFonts w:ascii="Liberation Serif" w:hAnsi="Liberation Serif" w:eastAsia="Segoe UI"/>
          <w:lang w:val="en-US" w:eastAsia="en-US" w:bidi="en-US"/>
        </w:rPr>
      </w:r>
    </w:p>
    <w:p>
      <w:r>
        <w:rPr>
          <w:rFonts w:ascii="Liberation Serif" w:hAnsi="Liberation Serif" w:eastAsia="Segoe UI"/>
          <w:b/>
          <w:bCs/>
          <w:i/>
          <w:iCs/>
          <w:lang w:val="en-US" w:eastAsia="en-US" w:bidi="en-US"/>
        </w:rPr>
        <w:t xml:space="preserve">Nota Explicativa 6: </w:t>
      </w:r>
      <w:r>
        <w:rPr>
          <w:rFonts w:ascii="Liberation Serif" w:hAnsi="Liberation Serif" w:eastAsia="Segoe UI"/>
          <w:i/>
          <w:iCs/>
          <w:lang w:val="en-US" w:eastAsia="en-US" w:bidi="en-US"/>
        </w:rPr>
        <w:t>Em</w:t>
      </w:r>
    </w:p>
    <w:p>
      <w:r>
        <w:rPr>
          <w:rFonts w:ascii="Liberation Serif" w:hAnsi="Liberation Serif" w:eastAsia="Segoe UI"/>
          <w:i/>
          <w:iCs/>
          <w:lang w:val="en-US" w:eastAsia="en-US" w:bidi="en-US"/>
        </w:rPr>
        <w:t>havendo elementos de sustentabilidade (fornecimento em material reciclável ou com madeira de reflorestamento etc.) inerentes ao objeto contratual, estes devem estar na solução como um todo de</w:t>
      </w:r>
    </w:p>
    <w:p>
      <w:r>
        <w:rPr>
          <w:rFonts w:ascii="Liberation Serif" w:hAnsi="Liberation Serif" w:eastAsia="Segoe UI"/>
          <w:i/>
          <w:iCs/>
          <w:lang w:val="en-US" w:eastAsia="en-US" w:bidi="en-US"/>
        </w:rPr>
        <w:t>modo específico e concreto, evitando-se descrições genéricas, de difícil</w:t>
      </w:r>
    </w:p>
    <w:p>
      <w:r>
        <w:rPr>
          <w:rFonts w:ascii="Liberation Serif" w:hAnsi="Liberation Serif" w:eastAsia="Segoe UI"/>
          <w:i/>
          <w:iCs/>
          <w:lang w:val="en-US" w:eastAsia="en-US" w:bidi="en-US"/>
        </w:rPr>
        <w:t>aferição e controle. Recomenda-se destacar em tópicos específicos da descrição do objeto seus elementos</w:t>
      </w:r>
    </w:p>
    <w:p>
      <w:r>
        <w:rPr>
          <w:rFonts w:ascii="Liberation Serif" w:hAnsi="Liberation Serif" w:eastAsia="Segoe UI"/>
          <w:i/>
          <w:iCs/>
          <w:lang w:val="en-US" w:eastAsia="en-US" w:bidi="en-US"/>
        </w:rPr>
        <w:t xml:space="preserve">atinentes a aspectos de sustentabilidade. Sugere-se consultar o Guia Nacional de Contratações Sustentáveis da AGU. Sugere-se consultar o </w:t>
      </w:r>
      <w:hyperlink r:id="rId2">
        <w:r>
          <w:rPr>
            <w:rFonts w:ascii="Liberation Serif" w:hAnsi="Liberation Serif" w:eastAsia="Segoe UI"/>
            <w:i/>
            <w:iCs/>
            <w:lang w:val="en-US" w:eastAsia="en-US" w:bidi="en-US"/>
          </w:rPr>
          <w:t>Guia Nacional de Contratações</w:t>
        </w:r>
      </w:hyperlink>
    </w:p>
    <w:p>
      <w:hyperlink r:id="rId3">
        <w:r>
          <w:rPr>
            <w:rFonts w:ascii="Liberation Serif" w:hAnsi="Liberation Serif" w:eastAsia="Segoe UI"/>
            <w:lang w:val="en-US" w:eastAsia="en-US" w:bidi="en-US"/>
          </w:rPr>
          <w:t>Sustentáveis da AGU</w:t>
        </w:r>
      </w:hyperlink>
      <w:r>
        <w:rPr>
          <w:rFonts w:ascii="Liberation Serif" w:hAnsi="Liberation Serif" w:eastAsia="Segoe UI"/>
          <w:i/>
          <w:iCs/>
          <w:lang w:val="en-US" w:eastAsia="en-US" w:bidi="en-US"/>
        </w:rPr>
        <w:t xml:space="preserve"> para tal fim. Caso o Estudo Técnico Preliminar seja silente ou insuficiente a esse respeito,</w:t>
      </w:r>
    </w:p>
    <w:p>
      <w:r>
        <w:rPr>
          <w:rFonts w:ascii="Liberation Serif" w:hAnsi="Liberation Serif" w:eastAsia="Segoe UI"/>
          <w:i/>
          <w:iCs/>
          <w:lang w:val="en-US" w:eastAsia="en-US" w:bidi="en-US"/>
        </w:rPr>
        <w:t>recomenda-se abrir tópico específico nesta seção sobre a matéria. Vale</w:t>
      </w:r>
    </w:p>
    <w:p>
      <w:r>
        <w:rPr>
          <w:rFonts w:ascii="Liberation Serif" w:hAnsi="Liberation Serif" w:eastAsia="Segoe UI"/>
          <w:i/>
          <w:iCs/>
          <w:lang w:val="en-US" w:eastAsia="en-US" w:bidi="en-US"/>
        </w:rPr>
        <w:t>registrar que a sustentabilidade pode incidir a partir de características</w:t>
      </w:r>
    </w:p>
    <w:p>
      <w:r>
        <w:rPr>
          <w:rFonts w:ascii="Liberation Serif" w:hAnsi="Liberation Serif" w:eastAsia="Segoe UI"/>
          <w:i/>
          <w:iCs/>
          <w:lang w:val="en-US" w:eastAsia="en-US" w:bidi="en-US"/>
        </w:rPr>
        <w:t>do próprio objeto a ser contratado como também de outros modos, compilados no tópico “requisitos da contratação”, constante deste TR.</w:t>
      </w:r>
    </w:p>
  </w:comment>
  <w:comment w:id="5" w:author="Autor" w:date="0-00-00T00:00:00Z" w:initials="A">
    <w:p>
      <w:r>
        <w:rPr>
          <w:rFonts w:ascii="Liberation Serif" w:hAnsi="Liberation Serif" w:eastAsia="Segoe UI"/>
          <w:b/>
          <w:bCs/>
          <w:i/>
          <w:iCs/>
          <w:lang w:val="en-US" w:eastAsia="en-US" w:bidi="en-US"/>
        </w:rPr>
        <w:t xml:space="preserve">Nota Explicativa 1: </w:t>
      </w:r>
      <w:r>
        <w:rPr>
          <w:rFonts w:ascii="Liberation Serif" w:hAnsi="Liberation Serif" w:eastAsia="Segoe UI"/>
          <w:i/>
          <w:iCs/>
          <w:lang w:val="en-US" w:eastAsia="en-US" w:bidi="en-US"/>
        </w:rPr>
        <w:t>Os requisitos da contratação deverão ser registrados nos Sistemas TR DIGITAL E ETP DIGITAL, nos termos do art. 9º, inciso IV da IN Seges/ME nº 81, de 2022 e art. 9º, inciso II, da Instrução Normativa Seges/ME nº 58, de 2022.</w:t>
      </w:r>
    </w:p>
    <w:p>
      <w:r>
        <w:rPr>
          <w:rFonts w:ascii="Liberation Serif" w:hAnsi="Liberation Serif" w:eastAsia="Segoe UI"/>
          <w:lang w:val="en-US" w:eastAsia="en-US" w:bidi="en-US"/>
        </w:rPr>
      </w:r>
    </w:p>
    <w:p>
      <w:r>
        <w:rPr>
          <w:rFonts w:ascii="Liberation Serif" w:hAnsi="Liberation Serif" w:eastAsia="Segoe UI"/>
          <w:b/>
          <w:bCs/>
          <w:i/>
          <w:iCs/>
          <w:lang w:val="en-US" w:eastAsia="en-US" w:bidi="en-US"/>
        </w:rPr>
        <w:t xml:space="preserve">Nota Explicativa 2: </w:t>
      </w:r>
      <w:r>
        <w:rPr>
          <w:rFonts w:ascii="Liberation Serif" w:hAnsi="Liberation Serif" w:eastAsia="Segoe UI"/>
          <w:i/>
          <w:iCs/>
          <w:lang w:val="en-US" w:eastAsia="en-US" w:bidi="en-US"/>
        </w:rPr>
        <w:t>Alguns requisitos de contratação tratados na lei foram abordados neste tópico do Termo de Referência. Isso não impede que outros requisitos de contratação, de caráter técnico, sejam inseridos pela área competente. Registre-se, apenas, que a documentação de habilitação técnica é objeto de tópico específico neste</w:t>
      </w:r>
    </w:p>
    <w:p>
      <w:r>
        <w:rPr>
          <w:rFonts w:ascii="Liberation Serif" w:hAnsi="Liberation Serif" w:eastAsia="Segoe UI"/>
          <w:i/>
          <w:iCs/>
          <w:lang w:val="en-US" w:eastAsia="en-US" w:bidi="en-US"/>
        </w:rPr>
        <w:t>TR (CRITÉRIOS DE SELEÇÃO DO FORNECEDOR) de modo que sua inclusão aqui seria redundante.</w:t>
      </w:r>
    </w:p>
  </w:comment>
  <w:comment w:id="6" w:author="Autor" w:date="0-00-00T00:00:00Z" w:initials="A">
    <w:p>
      <w:r>
        <w:rPr>
          <w:rFonts w:ascii="Liberation Serif" w:hAnsi="Liberation Serif" w:eastAsia="Segoe UI"/>
          <w:b/>
          <w:bCs/>
          <w:i/>
          <w:iCs/>
          <w:color w:val="000000"/>
          <w:lang w:val="en-US" w:eastAsia="en-US" w:bidi="en-US"/>
        </w:rPr>
        <w:t xml:space="preserve">Nota Explicativa 1: </w:t>
      </w:r>
      <w:r>
        <w:rPr>
          <w:rFonts w:ascii="Liberation Serif" w:hAnsi="Liberation Serif" w:eastAsia="Segoe UI"/>
          <w:i/>
          <w:iCs/>
          <w:color w:val="000000"/>
          <w:lang w:val="en-US" w:eastAsia="en-US" w:bidi="en-US"/>
        </w:rPr>
        <w:t>Marca - Excepcionalmente será permitida a indicação de uma ou mais marcas ou modelos, desde que justificada tecnicamente no processo, nas hipóteses descritas no art. 41, inciso I, alíneas a, b, c e d da Lei nº 14.133, de 2021.</w:t>
      </w:r>
    </w:p>
    <w:p>
      <w:r>
        <w:rPr>
          <w:rFonts w:ascii="Liberation Serif" w:hAnsi="Liberation Serif" w:eastAsia="Segoe UI"/>
          <w:lang w:val="en-US" w:eastAsia="en-US" w:bidi="en-US"/>
        </w:rPr>
      </w:r>
    </w:p>
    <w:p>
      <w:r>
        <w:rPr>
          <w:rFonts w:ascii="Liberation Serif" w:hAnsi="Liberation Serif" w:eastAsia="Segoe UI"/>
          <w:b/>
          <w:bCs/>
          <w:i/>
          <w:iCs/>
          <w:color w:val="000000"/>
          <w:lang w:val="en-US" w:eastAsia="en-US" w:bidi="en-US"/>
        </w:rPr>
        <w:t xml:space="preserve">Nota Explicativa 2: </w:t>
      </w:r>
      <w:r>
        <w:rPr>
          <w:rFonts w:ascii="Liberation Serif" w:hAnsi="Liberation Serif" w:eastAsia="Segoe UI"/>
          <w:i/>
          <w:iCs/>
          <w:color w:val="000000"/>
          <w:u w:val="single"/>
          <w:lang w:val="en-US" w:eastAsia="en-US" w:bidi="en-US"/>
        </w:rPr>
        <w:t>Similaridade</w:t>
      </w:r>
      <w:r>
        <w:rPr>
          <w:rFonts w:ascii="Liberation Serif" w:hAnsi="Liberation Serif" w:eastAsia="Segoe UI"/>
          <w:i/>
          <w:iCs/>
          <w:color w:val="000000"/>
          <w:lang w:val="en-US" w:eastAsia="en-US" w:bidi="en-US"/>
        </w:rPr>
        <w:t xml:space="preserve"> </w:t>
      </w:r>
      <w:r>
        <w:rPr>
          <w:rFonts w:ascii="Liberation Serif" w:hAnsi="Liberation Serif" w:eastAsia="Segoe UI"/>
          <w:b/>
          <w:bCs/>
          <w:i/>
          <w:iCs/>
          <w:color w:val="000000"/>
          <w:lang w:val="en-US" w:eastAsia="en-US" w:bidi="en-US"/>
        </w:rPr>
        <w:t>-</w:t>
      </w:r>
      <w:r>
        <w:rPr>
          <w:rFonts w:ascii="Liberation Serif" w:hAnsi="Liberation Serif" w:eastAsia="Segoe UI"/>
          <w:i/>
          <w:iCs/>
          <w:color w:val="000000"/>
          <w:lang w:val="en-US" w:eastAsia="en-US" w:bidi="en-US"/>
        </w:rPr>
        <w:t xml:space="preserve"> Quando necessária a indicação de marca como referência de qualidade ou facilitação da descrição do objeto, deve esta ser seguida das expressões “ou equivalente”, “ou similar” e “ou de melhor qualidade”, devendo, nesse caso, o produto ser aceito de fato e sem restrições pela Administração. </w:t>
      </w:r>
    </w:p>
    <w:p>
      <w:r>
        <w:rPr>
          <w:rFonts w:ascii="Liberation Serif" w:hAnsi="Liberation Serif" w:eastAsia="Segoe UI"/>
          <w:i/>
          <w:iCs/>
          <w:color w:val="000000"/>
          <w:lang w:val="en-US" w:eastAsia="en-US" w:bidi="en-US"/>
        </w:rPr>
        <w:t xml:space="preserve">Permite-se menção a marca de referência no aviso, como forma ou parâmetro de qualidade para facilitar a descrição do objeto, caso em que se deve necessariamente acrescentar expressões do tipo “ou equivalente”, “ou similar”, “ou de melhor qualidade”, podendo a Administração exigir que a empresa participante do certame demonstre desempenho, qualidade e produtividade compatíveis com a marca de referência mencionada.” </w:t>
      </w:r>
    </w:p>
    <w:p>
      <w:r>
        <w:rPr>
          <w:rFonts w:ascii="Liberation Serif" w:hAnsi="Liberation Serif" w:eastAsia="Segoe UI"/>
          <w:i/>
          <w:iCs/>
          <w:color w:val="000000"/>
          <w:lang w:val="en-US" w:eastAsia="en-US" w:bidi="en-US"/>
        </w:rPr>
        <w:t xml:space="preserve">Deve a Administração, ainda, observar o princípio da padronização considerada a compatibilidade de especificações estéticas, técnicas ou de desempenho, nos termos do art. 43 da Lei nº 14.133, de 2021, e do art. 9º, inciso I, alínea </w:t>
      </w:r>
      <w:r>
        <w:rPr>
          <w:rFonts w:ascii="Liberation Serif" w:hAnsi="Liberation Serif" w:eastAsia="Segoe UI"/>
          <w:i/>
          <w:iCs/>
          <w:lang w:val="en-US" w:eastAsia="en-US" w:bidi="en-US"/>
        </w:rPr>
        <w:t xml:space="preserve">b, da </w:t>
      </w:r>
      <w:hyperlink r:id="rId4">
        <w:r>
          <w:rPr>
            <w:rFonts w:ascii="Liberation Serif" w:hAnsi="Liberation Serif" w:eastAsia="Segoe UI"/>
            <w:i/>
            <w:iCs/>
            <w:lang w:val="en-US" w:eastAsia="en-US" w:bidi="en-US"/>
          </w:rPr>
          <w:t>IN Seges/ME nº 81, de 2022</w:t>
        </w:r>
      </w:hyperlink>
      <w:r>
        <w:rPr>
          <w:rFonts w:ascii="Liberation Serif" w:hAnsi="Liberation Serif" w:eastAsia="Segoe UI"/>
          <w:i/>
          <w:iCs/>
          <w:lang w:val="en-US" w:eastAsia="en-US" w:bidi="en-US"/>
        </w:rPr>
        <w:t>. T</w:t>
      </w:r>
      <w:r>
        <w:rPr>
          <w:rFonts w:ascii="Liberation Serif" w:hAnsi="Liberation Serif" w:eastAsia="Segoe UI"/>
          <w:i/>
          <w:iCs/>
          <w:color w:val="000000"/>
          <w:lang w:val="en-US" w:eastAsia="en-US" w:bidi="en-US"/>
        </w:rPr>
        <w:t>ambém deverá ser observada a Portaria SEGES/ME n. 938, de 2022, que institui o catálogo eletrônico de padronização de compras, serviços e obras, no âmbito da Administração Pública federal direta, autárquica e fundacional.</w:t>
      </w:r>
    </w:p>
  </w:comment>
  <w:comment w:id="7" w:author="Autor" w:date="0-00-00T00:00:00Z" w:initials="A">
    <w:p>
      <w:r>
        <w:rPr>
          <w:rFonts w:ascii="Liberation Serif" w:hAnsi="Liberation Serif" w:eastAsia="Segoe UI"/>
          <w:b/>
          <w:bCs/>
          <w:i/>
          <w:iCs/>
          <w:color w:val="000000"/>
          <w:lang w:val="en-US" w:eastAsia="en-US" w:bidi="en-US"/>
        </w:rPr>
        <w:t>Nota Explicativa 1:</w:t>
      </w:r>
      <w:r>
        <w:rPr>
          <w:rFonts w:ascii="Liberation Serif" w:hAnsi="Liberation Serif" w:eastAsia="Segoe UI"/>
          <w:i/>
          <w:iCs/>
          <w:color w:val="000000"/>
          <w:lang w:val="en-US" w:eastAsia="en-US" w:bidi="en-US"/>
        </w:rPr>
        <w:t xml:space="preserve"> É possível que a Administração vede a contratação de marca ou produto com base em experiência prévia, registrada em processo administrativo, conforme </w:t>
      </w:r>
      <w:hyperlink r:id="rId5">
        <w:r>
          <w:rPr>
            <w:rFonts w:ascii="Liberation Serif" w:hAnsi="Liberation Serif" w:eastAsia="Segoe UI"/>
            <w:i/>
            <w:iCs/>
            <w:color w:val="000000"/>
            <w:lang w:val="en-US" w:eastAsia="en-US" w:bidi="en-US"/>
          </w:rPr>
          <w:t>art. 41, III, da Lei nº 14.133, de 2021.</w:t>
        </w:r>
      </w:hyperlink>
    </w:p>
    <w:p>
      <w:r>
        <w:rPr>
          <w:rFonts w:ascii="Liberation Serif" w:hAnsi="Liberation Serif" w:eastAsia="Segoe UI"/>
          <w:lang w:val="en-US" w:eastAsia="en-US" w:bidi="en-US"/>
        </w:rPr>
      </w:r>
    </w:p>
    <w:p>
      <w:r>
        <w:rPr>
          <w:rFonts w:ascii="Liberation Serif" w:hAnsi="Liberation Serif" w:eastAsia="Segoe UI"/>
          <w:b/>
          <w:bCs/>
          <w:i/>
          <w:iCs/>
          <w:color w:val="000000"/>
          <w:lang w:val="en-US" w:eastAsia="en-US" w:bidi="en-US"/>
        </w:rPr>
        <w:t>Nota Explicativa 2:</w:t>
      </w:r>
      <w:r>
        <w:rPr>
          <w:rFonts w:ascii="Liberation Serif" w:hAnsi="Liberation Serif" w:eastAsia="Segoe UI"/>
          <w:i/>
          <w:iCs/>
          <w:color w:val="000000"/>
          <w:lang w:val="en-US" w:eastAsia="en-US" w:bidi="en-US"/>
        </w:rPr>
        <w:t xml:space="preserve"> A Administração na condição de contratante, </w:t>
      </w:r>
      <w:r>
        <w:rPr>
          <w:rFonts w:ascii="Liberation Serif" w:hAnsi="Liberation Serif" w:eastAsia="Segoe UI"/>
          <w:i/>
          <w:iCs/>
          <w:color w:val="000000"/>
          <w:u w:val="single"/>
          <w:lang w:val="en-US" w:eastAsia="en-US" w:bidi="en-US"/>
        </w:rPr>
        <w:t xml:space="preserve">espelhando o que foi definido no </w:t>
      </w:r>
      <w:hyperlink r:id="rId6">
        <w:r>
          <w:rPr>
            <w:rFonts w:ascii="Liberation Serif" w:hAnsi="Liberation Serif" w:eastAsia="Segoe UI"/>
            <w:i/>
            <w:iCs/>
            <w:color w:val="000000"/>
            <w:u w:val="single"/>
            <w:lang w:val="en-US" w:eastAsia="en-US" w:bidi="en-US"/>
          </w:rPr>
          <w:t>artigo 10, inciso III, da Instrução Normativa SEGES/ME nº 58, de 2022, que trata do ETP</w:t>
        </w:r>
      </w:hyperlink>
      <w:r>
        <w:rPr>
          <w:rFonts w:ascii="Liberation Serif" w:hAnsi="Liberation Serif" w:eastAsia="Segoe UI"/>
          <w:i/>
          <w:iCs/>
          <w:color w:val="000000"/>
          <w:u w:val="single"/>
          <w:lang w:val="en-US" w:eastAsia="en-US" w:bidi="en-US"/>
        </w:rPr>
        <w:t xml:space="preserve">, </w:t>
      </w:r>
      <w:r>
        <w:rPr>
          <w:rFonts w:ascii="Liberation Serif" w:hAnsi="Liberation Serif" w:eastAsia="Segoe UI"/>
          <w:i/>
          <w:iCs/>
          <w:color w:val="000000"/>
          <w:lang w:val="en-US" w:eastAsia="en-US" w:bidi="en-US"/>
        </w:rPr>
        <w:t>deve aproveitar sua experiência para aperfeiçoar seu processo de contratação, por meio da adoção de providências que evitem a repetição de compras malsucedidas. Para tanto, deve considerar também o relatório final de que trata a alínea “d” do inciso VI do § 3º do art. 174 da Lei nº 14.133, de 2021. Além do preço, elementos como qualidade do produto e da assistência técnica assim como durabilidade do bem e custos com manutenção são essenciais para que se conclua que um objeto atende ou não a necessidade administrativa. Diferentemente do mercado privado, em que basta a vontade do particular de não efetuar nova contratação, no âmbito das contratações públicas é necessária a existência de justo motivo, que a lei vincula à existência de processo administrativo prévio, cujo resultado tenha culminado com a conclusão de que determinado produto ou marca não atendem aos requisitos mínimos para que sejam adquiridas pela Administração. O caput do artigo 41 deixa claro que essa deve ser uma medida excepcional, que terá cabimento quando houver necessidade. Somente será possível vedar a aquisição de produto ou marca se houver processo administrativo prévio no qual as razões administrativas tenham sido expostas, com possibilidade de participação do particular envolvido, a fim de que a exclusão de marca ou produto não constitua um ato arbitrário. As razões para a vedação devem ser apresentadas no Estudo Técnico Preliminar, inclusive com citação de trechos do processo administrativo em que se consolidou a vedação, se for o caso.</w:t>
      </w:r>
    </w:p>
  </w:comment>
  <w:comment w:id="8" w:author="Autor" w:date="0-00-00T00:00:00Z" w:initials="A">
    <w:p>
      <w:r>
        <w:rPr>
          <w:rFonts w:ascii="Liberation Serif" w:hAnsi="Liberation Serif" w:eastAsia="Segoe UI"/>
          <w:b/>
          <w:bCs/>
          <w:i/>
          <w:iCs/>
          <w:color w:val="000000"/>
          <w:lang w:val="en-US" w:eastAsia="en-US" w:bidi="en-US"/>
        </w:rPr>
        <w:t xml:space="preserve">Nota Explicativa </w:t>
      </w:r>
      <w:r>
        <w:rPr>
          <w:rFonts w:ascii="Liberation Serif" w:hAnsi="Liberation Serif" w:eastAsia="Segoe UI"/>
          <w:b/>
          <w:bCs/>
          <w:lang w:val="en-US" w:eastAsia="en-US" w:bidi="en-US"/>
        </w:rPr>
        <w:t xml:space="preserve">1: </w:t>
      </w:r>
      <w:r>
        <w:rPr>
          <w:rFonts w:ascii="Liberation Serif" w:hAnsi="Liberation Serif" w:eastAsia="Segoe UI"/>
          <w:lang w:val="en-US" w:eastAsia="en-US" w:bidi="en-US"/>
        </w:rPr>
        <w:t>No contexto de contratações diretas, só se poderia cogitar de um procedimento de amostra no caso de dispensa eletrônica, a partir do que for possível pelo sistema respectivo. Nessa perspectiva que se deixa a redação acima neste documento, passível de plena adaptação pelas áreas interessadas.</w:t>
      </w:r>
    </w:p>
    <w:p>
      <w:r>
        <w:rPr>
          <w:rFonts w:ascii="Liberation Serif" w:hAnsi="Liberation Serif" w:eastAsia="Segoe UI"/>
          <w:lang w:val="en-US" w:eastAsia="en-US" w:bidi="en-US"/>
        </w:rPr>
      </w:r>
    </w:p>
    <w:p>
      <w:r>
        <w:rPr>
          <w:rFonts w:ascii="Liberation Serif" w:hAnsi="Liberation Serif" w:eastAsia="Segoe UI"/>
          <w:b/>
          <w:bCs/>
          <w:i/>
          <w:iCs/>
          <w:lang w:val="en-US" w:eastAsia="en-US" w:bidi="en-US"/>
        </w:rPr>
        <w:t xml:space="preserve">Nota Explicativa  </w:t>
      </w:r>
      <w:r>
        <w:rPr>
          <w:rFonts w:ascii="Liberation Serif" w:hAnsi="Liberation Serif" w:eastAsia="Segoe UI"/>
          <w:b/>
          <w:bCs/>
          <w:lang w:val="en-US" w:eastAsia="en-US" w:bidi="en-US"/>
        </w:rPr>
        <w:t>2</w:t>
      </w:r>
      <w:r>
        <w:rPr>
          <w:rFonts w:ascii="Liberation Serif" w:hAnsi="Liberation Serif" w:eastAsia="Segoe UI"/>
          <w:b/>
          <w:bCs/>
          <w:i/>
          <w:iCs/>
          <w:color w:val="000000"/>
          <w:lang w:val="en-US" w:eastAsia="en-US" w:bidi="en-US"/>
        </w:rPr>
        <w:t xml:space="preserve">: </w:t>
      </w:r>
      <w:r>
        <w:rPr>
          <w:rFonts w:ascii="Liberation Serif" w:hAnsi="Liberation Serif" w:eastAsia="Segoe UI"/>
          <w:i/>
          <w:iCs/>
          <w:color w:val="000000"/>
          <w:lang w:val="en-US" w:eastAsia="en-US" w:bidi="en-US"/>
        </w:rPr>
        <w:t xml:space="preserve">A possibilidade de exigência de amostra, exame de conformidade e prova de conceito tem previsão no </w:t>
      </w:r>
      <w:hyperlink r:id="rId7">
        <w:r>
          <w:rPr>
            <w:rFonts w:ascii="Liberation Serif" w:hAnsi="Liberation Serif" w:eastAsia="Segoe UI"/>
            <w:i/>
            <w:iCs/>
            <w:color w:val="000000"/>
            <w:lang w:val="en-US" w:eastAsia="en-US" w:bidi="en-US"/>
          </w:rPr>
          <w:t>artigo 17, §3º, artigo 41, inciso II, e artigo 42, §2º, todos da Lei nº 14.133</w:t>
        </w:r>
      </w:hyperlink>
      <w:r>
        <w:rPr>
          <w:rFonts w:ascii="Liberation Serif" w:hAnsi="Liberation Serif" w:eastAsia="Segoe UI"/>
          <w:i/>
          <w:iCs/>
          <w:color w:val="000000"/>
          <w:lang w:val="en-US" w:eastAsia="en-US" w:bidi="en-US"/>
        </w:rPr>
        <w:t xml:space="preserve">, de 2021, e no artigo 29, §1º, da </w:t>
      </w:r>
      <w:hyperlink r:id="rId8">
        <w:r>
          <w:rPr>
            <w:rFonts w:ascii="Liberation Serif" w:hAnsi="Liberation Serif" w:eastAsia="Segoe UI"/>
            <w:i/>
            <w:iCs/>
            <w:color w:val="000000"/>
            <w:lang w:val="en-US" w:eastAsia="en-US" w:bidi="en-US"/>
          </w:rPr>
          <w:t>Instrução Normativa SEGES/ME nº 73, de 2022</w:t>
        </w:r>
      </w:hyperlink>
      <w:r>
        <w:rPr>
          <w:rFonts w:ascii="Liberation Serif" w:hAnsi="Liberation Serif" w:eastAsia="Segoe UI"/>
          <w:i/>
          <w:iCs/>
          <w:color w:val="000000"/>
          <w:lang w:val="en-US" w:eastAsia="en-US" w:bidi="en-US"/>
        </w:rPr>
        <w:t>. A justificativa para a exigência deve constar do ETP, devendo o TR disciplinar a forma como essa etapa ocorrerá, bem como os critérios a serem adotados para a avaliação.</w:t>
      </w:r>
    </w:p>
    <w:p>
      <w:r>
        <w:rPr>
          <w:rFonts w:ascii="Liberation Serif" w:hAnsi="Liberation Serif" w:eastAsia="Segoe UI"/>
          <w:lang w:val="en-US" w:eastAsia="en-US" w:bidi="en-US"/>
        </w:rPr>
      </w:r>
    </w:p>
    <w:p>
      <w:r>
        <w:rPr>
          <w:rFonts w:ascii="Liberation Serif" w:hAnsi="Liberation Serif" w:eastAsia="Segoe UI"/>
          <w:b/>
          <w:bCs/>
          <w:i/>
          <w:iCs/>
          <w:color w:val="000000"/>
          <w:lang w:val="en-US" w:eastAsia="en-US" w:bidi="en-US"/>
        </w:rPr>
        <w:t>Nota Explicativa 3:</w:t>
      </w:r>
      <w:r>
        <w:rPr>
          <w:rFonts w:ascii="Liberation Serif" w:hAnsi="Liberation Serif" w:eastAsia="Segoe UI"/>
          <w:i/>
          <w:iCs/>
          <w:color w:val="000000"/>
          <w:lang w:val="en-US" w:eastAsia="en-US" w:bidi="en-US"/>
        </w:rPr>
        <w:t xml:space="preserve"> A exigência de prova de conceito, amostra, protótipo, testes e outras formas de avaliação de conformidade do objeto é excepcional. Eventual exigência nesse sentido deve ser ponderada pela Administração à luz do caso concreto, mediante justificativa. O insucesso em contratações pretéritas pode justificar essa previsão. Há itens de baixa qualidade que simplesmente não funcionam como deveriam, embora possuam descrição técnica semelhante à de objetos de boa qualidade. O julgamento pelo menor preço pode atrair o fornecimento de bens de pouca qualidade, devendo a Administração adotar cautelas para não adquirir material imprestável e, mais importante, evitar repetidamente contratar nessas condições.</w:t>
      </w:r>
    </w:p>
  </w:comment>
  <w:comment w:id="9" w:author="Autor" w:date="0-00-00T00:00:00Z" w:initials="A">
    <w:p>
      <w:r>
        <w:rPr>
          <w:rFonts w:ascii="Liberation Serif" w:hAnsi="Liberation Serif" w:eastAsia="Segoe UI"/>
          <w:b/>
          <w:bCs/>
          <w:i/>
          <w:iCs/>
          <w:color w:val="000000"/>
          <w:lang w:val="en-US" w:eastAsia="en-US" w:bidi="en-US"/>
        </w:rPr>
        <w:t>Nota Explicativa:</w:t>
      </w:r>
      <w:r>
        <w:rPr>
          <w:rFonts w:ascii="Liberation Serif" w:hAnsi="Liberation Serif" w:eastAsia="Segoe UI"/>
          <w:i/>
          <w:iCs/>
          <w:color w:val="000000"/>
          <w:lang w:val="en-US" w:eastAsia="en-US" w:bidi="en-US"/>
        </w:rPr>
        <w:t xml:space="preserve"> Em razão de seu potencial de restringir a competitividade do certame, a exigência de carta de solidariedade somente se justificará em situações excepcionais e devidamente motivadas.</w:t>
      </w:r>
    </w:p>
  </w:comment>
  <w:comment w:id="10" w:author="Autor" w:date="0-00-00T00:00:00Z" w:initials="A">
    <w:p>
      <w:r>
        <w:rPr>
          <w:rFonts w:ascii="Liberation Serif" w:hAnsi="Liberation Serif" w:eastAsia="Segoe UI"/>
          <w:b/>
          <w:bCs/>
          <w:i/>
          <w:iCs/>
          <w:color w:val="000000"/>
          <w:lang w:val="en-US" w:eastAsia="en-US" w:bidi="en-US"/>
        </w:rPr>
        <w:t>Nota Explicativa 1</w:t>
      </w:r>
      <w:r>
        <w:rPr>
          <w:rFonts w:ascii="Liberation Serif" w:hAnsi="Liberation Serif" w:eastAsia="Segoe UI"/>
          <w:i/>
          <w:iCs/>
          <w:color w:val="000000"/>
          <w:lang w:val="en-US" w:eastAsia="en-US" w:bidi="en-US"/>
        </w:rPr>
        <w:t>: Não se admite a exigência de subcontratação para o fornecimento de bens, exceto quando estiver vinculado à prestação de serviços acessórios. Observe-se, ainda, que é vedada a subcontratação completa ou da parcela principal da obrigação.</w:t>
      </w:r>
    </w:p>
    <w:p>
      <w:r>
        <w:rPr>
          <w:rFonts w:ascii="Liberation Serif" w:hAnsi="Liberation Serif" w:eastAsia="Segoe UI"/>
          <w:lang w:val="en-US" w:eastAsia="en-US" w:bidi="en-US"/>
        </w:rPr>
      </w:r>
    </w:p>
    <w:p>
      <w:r>
        <w:rPr>
          <w:rFonts w:ascii="Liberation Serif" w:hAnsi="Liberation Serif" w:eastAsia="Segoe UI"/>
          <w:b/>
          <w:bCs/>
          <w:i/>
          <w:iCs/>
          <w:color w:val="000000"/>
          <w:lang w:val="en-US" w:eastAsia="en-US" w:bidi="en-US"/>
        </w:rPr>
        <w:t>Nota Explicativa 2:</w:t>
      </w:r>
      <w:r>
        <w:rPr>
          <w:rFonts w:ascii="Liberation Serif" w:hAnsi="Liberation Serif" w:eastAsia="Segoe UI"/>
          <w:i/>
          <w:iCs/>
          <w:color w:val="000000"/>
          <w:lang w:val="en-US" w:eastAsia="en-US" w:bidi="en-US"/>
        </w:rPr>
        <w:t xml:space="preserve"> A subcontratação deve ser avaliada à luz do </w:t>
      </w:r>
      <w:hyperlink r:id="rId9">
        <w:r>
          <w:rPr>
            <w:rFonts w:ascii="Liberation Serif" w:hAnsi="Liberation Serif" w:eastAsia="Segoe UI"/>
            <w:i/>
            <w:iCs/>
            <w:color w:val="000000"/>
            <w:lang w:val="en-US" w:eastAsia="en-US" w:bidi="en-US"/>
          </w:rPr>
          <w:t>artigo 122 da Lei nº 14.133, de 2021</w:t>
        </w:r>
      </w:hyperlink>
      <w:r>
        <w:rPr>
          <w:rFonts w:ascii="Liberation Serif" w:hAnsi="Liberation Serif" w:eastAsia="Segoe UI"/>
          <w:i/>
          <w:iCs/>
          <w:color w:val="000000"/>
          <w:lang w:val="en-US" w:eastAsia="en-US" w:bidi="en-US"/>
        </w:rPr>
        <w:t>:</w:t>
      </w:r>
    </w:p>
    <w:p>
      <w:r>
        <w:rPr>
          <w:rFonts w:ascii="Liberation Serif" w:hAnsi="Liberation Serif" w:eastAsia="Segoe UI"/>
          <w:i/>
          <w:iCs/>
          <w:color w:val="000000"/>
          <w:lang w:val="en-US" w:eastAsia="en-US" w:bidi="en-US"/>
        </w:rPr>
        <w:t>“Art. 122. Na execução do contrato e sem prejuízo das responsabilidades contratuais e legais, o contratado poderá subcontratar partes da obra, do serviço ou do fornecimento até o limite autorizado, em cada caso, pela Administração.</w:t>
      </w:r>
    </w:p>
    <w:p>
      <w:r>
        <w:rPr>
          <w:rFonts w:ascii="Liberation Serif" w:hAnsi="Liberation Serif" w:eastAsia="Segoe UI"/>
          <w:i/>
          <w:iCs/>
          <w:color w:val="000000"/>
          <w:lang w:val="en-US" w:eastAsia="en-US" w:bidi="en-US"/>
        </w:rPr>
        <w:t>§ 1º O contratado apresentará à Administração documentação que comprove a capacidade técnica do subcontratado, que será avaliada e juntada aos autos do processo correspondente.</w:t>
      </w:r>
    </w:p>
    <w:p>
      <w:r>
        <w:rPr>
          <w:rFonts w:ascii="Liberation Serif" w:hAnsi="Liberation Serif" w:eastAsia="Segoe UI"/>
          <w:i/>
          <w:iCs/>
          <w:color w:val="000000"/>
          <w:lang w:val="en-US" w:eastAsia="en-US" w:bidi="en-US"/>
        </w:rPr>
        <w:t>§ 2º Regulamento ou edital de licitação poderão vedar, restringir ou estabelecer condições para a subcontratação.</w:t>
      </w:r>
    </w:p>
    <w:p>
      <w:r>
        <w:rPr>
          <w:rFonts w:ascii="Liberation Serif" w:hAnsi="Liberation Serif" w:eastAsia="Segoe UI"/>
          <w:i/>
          <w:iCs/>
          <w:color w:val="000000"/>
          <w:lang w:val="en-US" w:eastAsia="en-US" w:bidi="en-US"/>
        </w:rPr>
        <w:t>§ 3º Será vedada a subcontratação de pessoa física ou jurídica, se aquela ou os dirigentes desta mantiverem vínculo de natureza técnica, comercial, econômica, financeira, trabalhista ou civil com dirigente do órgão ou entidade contratante ou com agente público que desempenhe função na licitação ou atue na fiscalização ou na gestão do contrato, ou se deles forem cônjuge, companheiro ou parente em linha reta, colateral, ou por afinidade, até o terceiro grau, devendo essa proibição constar expressamente do edital de licitação.”</w:t>
      </w:r>
    </w:p>
  </w:comment>
  <w:comment w:id="11" w:author="Autor" w:date="0-00-00T00:00:00Z" w:initials="A">
    <w:p>
      <w:r>
        <w:rPr>
          <w:rFonts w:ascii="Liberation Serif" w:hAnsi="Liberation Serif" w:eastAsia="Segoe UI"/>
          <w:b/>
          <w:bCs/>
          <w:i/>
          <w:iCs/>
          <w:color w:val="000000"/>
          <w:lang w:val="en-US" w:eastAsia="en-US" w:bidi="en-US"/>
        </w:rPr>
        <w:t xml:space="preserve">Nota Explicativa 1: </w:t>
      </w:r>
      <w:r>
        <w:rPr>
          <w:rFonts w:ascii="Liberation Serif" w:hAnsi="Liberation Serif" w:eastAsia="Segoe UI"/>
          <w:i/>
          <w:iCs/>
          <w:color w:val="000000"/>
          <w:lang w:val="en-US" w:eastAsia="en-US" w:bidi="en-US"/>
        </w:rPr>
        <w:t>Em havendo a necessidade de inclusão de outras especificações técnicas quanto à subcontratação, deverão ser inseridas nos itens acima.</w:t>
      </w:r>
    </w:p>
    <w:p>
      <w:r>
        <w:rPr>
          <w:rFonts w:ascii="Liberation Serif" w:hAnsi="Liberation Serif" w:eastAsia="Segoe UI"/>
          <w:lang w:val="en-US" w:eastAsia="en-US" w:bidi="en-US"/>
        </w:rPr>
      </w:r>
    </w:p>
    <w:p>
      <w:r>
        <w:rPr>
          <w:rFonts w:ascii="Liberation Serif" w:hAnsi="Liberation Serif" w:eastAsia="Segoe UI"/>
          <w:b/>
          <w:bCs/>
          <w:i/>
          <w:iCs/>
          <w:color w:val="000000"/>
          <w:lang w:val="en-US" w:eastAsia="en-US" w:bidi="en-US"/>
        </w:rPr>
        <w:t xml:space="preserve">Nota Explicativa 2: </w:t>
      </w:r>
      <w:r>
        <w:rPr>
          <w:rFonts w:ascii="Liberation Serif" w:hAnsi="Liberation Serif" w:eastAsia="Segoe UI"/>
          <w:i/>
          <w:iCs/>
          <w:color w:val="000000"/>
          <w:lang w:val="en-US" w:eastAsia="en-US" w:bidi="en-US"/>
        </w:rPr>
        <w:t>A subcontratação parcial é permitida e deverá ser analisada pela Administração com base nas informações dos estudos preliminares, em cada caso concreto. Caso admitida, o Termo de Referência e o Contrato estabelecerão com detalhamento seus limites e condições, inclusive especificando quais parcelas do objeto poderão ser subcontratadas.</w:t>
      </w:r>
    </w:p>
    <w:p>
      <w:r>
        <w:rPr>
          <w:rFonts w:ascii="Liberation Serif" w:hAnsi="Liberation Serif" w:eastAsia="Segoe UI"/>
          <w:lang w:val="en-US" w:eastAsia="en-US" w:bidi="en-US"/>
        </w:rPr>
      </w:r>
    </w:p>
    <w:p>
      <w:r>
        <w:rPr>
          <w:rFonts w:ascii="Liberation Serif" w:hAnsi="Liberation Serif" w:eastAsia="Segoe UI"/>
          <w:b/>
          <w:bCs/>
          <w:i/>
          <w:iCs/>
          <w:color w:val="000000"/>
          <w:lang w:val="en-US" w:eastAsia="en-US" w:bidi="en-US"/>
        </w:rPr>
        <w:t xml:space="preserve">Nota Explicativa 3: </w:t>
      </w:r>
      <w:r>
        <w:rPr>
          <w:rFonts w:ascii="Liberation Serif" w:hAnsi="Liberation Serif" w:eastAsia="Segoe UI"/>
          <w:i/>
          <w:iCs/>
          <w:color w:val="000000"/>
          <w:lang w:val="en-US" w:eastAsia="en-US" w:bidi="en-US"/>
        </w:rPr>
        <w:t xml:space="preserve">A depender da parcela do fornecimento cuja contratação será permitida, poderá ser previsto, no tópico pertinente, que a qualificação técnica seja demonstrada por meio de atestados relativos a potencial subcontratado, limitado a 25% do objeto a ser </w:t>
      </w:r>
      <w:r>
        <w:rPr>
          <w:rFonts w:ascii="Liberation Serif" w:hAnsi="Liberation Serif" w:eastAsia="Segoe UI"/>
          <w:lang w:val="en-US" w:eastAsia="en-US" w:bidi="en-US"/>
        </w:rPr>
        <w:t>contratado</w:t>
      </w:r>
      <w:r>
        <w:rPr>
          <w:rFonts w:ascii="Liberation Serif" w:hAnsi="Liberation Serif" w:eastAsia="Segoe UI"/>
          <w:i/>
          <w:iCs/>
          <w:color w:val="000000"/>
          <w:lang w:val="en-US" w:eastAsia="en-US" w:bidi="en-US"/>
        </w:rPr>
        <w:t xml:space="preserve">, conforme </w:t>
      </w:r>
      <w:hyperlink r:id="rId10">
        <w:r>
          <w:rPr>
            <w:rFonts w:ascii="Liberation Serif" w:hAnsi="Liberation Serif" w:eastAsia="Segoe UI"/>
            <w:i/>
            <w:iCs/>
            <w:color w:val="000000"/>
            <w:lang w:val="en-US" w:eastAsia="en-US" w:bidi="en-US"/>
          </w:rPr>
          <w:t>art. 67, §9º da Lei nº 14.133</w:t>
        </w:r>
      </w:hyperlink>
      <w:r>
        <w:rPr>
          <w:rFonts w:ascii="Liberation Serif" w:hAnsi="Liberation Serif" w:eastAsia="Segoe UI"/>
          <w:i/>
          <w:iCs/>
          <w:color w:val="000000"/>
          <w:lang w:val="en-US" w:eastAsia="en-US" w:bidi="en-US"/>
        </w:rPr>
        <w:t xml:space="preserve">, de 2021. Nesta hipótese, mais de um </w:t>
      </w:r>
      <w:r>
        <w:rPr>
          <w:rFonts w:ascii="Liberation Serif" w:hAnsi="Liberation Serif" w:eastAsia="Segoe UI"/>
          <w:lang w:val="en-US" w:eastAsia="en-US" w:bidi="en-US"/>
        </w:rPr>
        <w:t>interessado</w:t>
      </w:r>
      <w:r>
        <w:rPr>
          <w:rFonts w:ascii="Liberation Serif" w:hAnsi="Liberation Serif" w:eastAsia="Segoe UI"/>
          <w:i/>
          <w:iCs/>
          <w:color w:val="000000"/>
          <w:lang w:val="en-US" w:eastAsia="en-US" w:bidi="en-US"/>
        </w:rPr>
        <w:t xml:space="preserve"> poderá apresentar atestado relativo ao mesmo potencial subcontratado.</w:t>
      </w:r>
    </w:p>
  </w:comment>
  <w:comment w:id="12" w:author="Autor" w:date="0-00-00T00:00:00Z" w:initials="A">
    <w:p>
      <w:r>
        <w:rPr>
          <w:rFonts w:ascii="Liberation Serif" w:hAnsi="Liberation Serif" w:eastAsia="Segoe UI"/>
          <w:b/>
          <w:bCs/>
          <w:i/>
          <w:iCs/>
          <w:lang w:val="en-US" w:eastAsia="en-US" w:bidi="en-US"/>
        </w:rPr>
        <w:t xml:space="preserve">Nota Explicativa 1: </w:t>
      </w:r>
      <w:r>
        <w:rPr>
          <w:rFonts w:ascii="Liberation Serif" w:hAnsi="Liberation Serif" w:eastAsia="Segoe UI"/>
          <w:i/>
          <w:iCs/>
          <w:lang w:val="en-US" w:eastAsia="en-US" w:bidi="en-US"/>
        </w:rPr>
        <w:t>Neste momento, a área técnica competente deverá indicar se a contratação utilizará a garantia de execução ou não. As regras especificas sobre garantia, pelo seu caráter jurídico, estarão previstas no contrato e deverão ser nele inseridas caso haja indicação positiva no Termo de Referência. Caso não haja uso de minuta contratual, recomenda-se copiar e colar aqui as regras do contrato sobre esse assunto.</w:t>
      </w:r>
    </w:p>
    <w:p>
      <w:r>
        <w:rPr>
          <w:rFonts w:ascii="Liberation Serif" w:hAnsi="Liberation Serif" w:eastAsia="Segoe UI"/>
          <w:lang w:val="en-US" w:eastAsia="en-US" w:bidi="en-US"/>
        </w:rPr>
      </w:r>
    </w:p>
    <w:p>
      <w:r>
        <w:rPr>
          <w:rFonts w:ascii="Liberation Serif" w:hAnsi="Liberation Serif" w:eastAsia="Segoe UI"/>
          <w:b/>
          <w:bCs/>
          <w:i/>
          <w:iCs/>
          <w:lang w:val="en-US" w:eastAsia="en-US" w:bidi="en-US"/>
        </w:rPr>
        <w:t>Nota Explicativa 2</w:t>
      </w:r>
      <w:r>
        <w:rPr>
          <w:rFonts w:ascii="Liberation Serif" w:hAnsi="Liberation Serif" w:eastAsia="Segoe UI"/>
          <w:i/>
          <w:iCs/>
          <w:lang w:val="en-US" w:eastAsia="en-US" w:bidi="en-US"/>
        </w:rPr>
        <w:t>: O percentual da garantia será de:</w:t>
      </w:r>
    </w:p>
    <w:p>
      <w:r>
        <w:rPr>
          <w:rFonts w:ascii="Liberation Serif" w:hAnsi="Liberation Serif" w:eastAsia="Segoe UI"/>
          <w:i/>
          <w:iCs/>
          <w:lang w:val="en-US" w:eastAsia="en-US" w:bidi="en-US"/>
        </w:rPr>
        <w:t>a) até 5% (cinco por cento) do</w:t>
      </w:r>
    </w:p>
    <w:p>
      <w:r>
        <w:rPr>
          <w:rFonts w:ascii="Liberation Serif" w:hAnsi="Liberation Serif" w:eastAsia="Segoe UI"/>
          <w:i/>
          <w:iCs/>
          <w:lang w:val="en-US" w:eastAsia="en-US" w:bidi="en-US"/>
        </w:rPr>
        <w:t xml:space="preserve">valor inicial do contrato, para contratações em geral, conforme </w:t>
      </w:r>
      <w:r>
        <w:fldChar w:fldCharType="begin"/>
      </w:r>
      <w:r>
        <w:instrText> HYPERLINK "http://www.planalto.gov.br/ccivil_03/_ato2019-2022/2021/lei/L14133.htm" \l "art98"</w:instrText>
      </w:r>
      <w:r>
        <w:fldChar w:fldCharType="separate"/>
      </w:r>
      <w:r>
        <w:rPr>
          <w:rFonts w:ascii="Liberation Serif" w:hAnsi="Liberation Serif" w:eastAsia="Segoe UI"/>
          <w:i/>
          <w:iCs/>
          <w:lang w:val="en-US" w:eastAsia="en-US" w:bidi="en-US"/>
        </w:rPr>
        <w:t>art. 98 da Lei nº 14.133, de 2021</w:t>
      </w:r>
      <w:r>
        <w:fldChar w:fldCharType="end"/>
      </w:r>
      <w:r>
        <w:rPr>
          <w:rFonts w:ascii="Liberation Serif" w:hAnsi="Liberation Serif" w:eastAsia="Segoe UI"/>
          <w:i/>
          <w:iCs/>
          <w:lang w:val="en-US" w:eastAsia="en-US" w:bidi="en-US"/>
        </w:rPr>
        <w:t>;</w:t>
      </w:r>
    </w:p>
    <w:p>
      <w:r>
        <w:rPr>
          <w:rFonts w:ascii="Liberation Serif" w:hAnsi="Liberation Serif" w:eastAsia="Segoe UI"/>
          <w:i/>
          <w:iCs/>
          <w:lang w:val="en-US" w:eastAsia="en-US" w:bidi="en-US"/>
        </w:rPr>
        <w:t>b) até 10% (dez por cento) do</w:t>
      </w:r>
    </w:p>
    <w:p>
      <w:r>
        <w:rPr>
          <w:rFonts w:ascii="Liberation Serif" w:hAnsi="Liberation Serif" w:eastAsia="Segoe UI"/>
          <w:i/>
          <w:iCs/>
          <w:lang w:val="en-US" w:eastAsia="en-US" w:bidi="en-US"/>
        </w:rPr>
        <w:t>valor inicial do contrato, nos casos de alta complexidade técnica e riscos</w:t>
      </w:r>
    </w:p>
    <w:p>
      <w:r>
        <w:rPr>
          <w:rFonts w:ascii="Liberation Serif" w:hAnsi="Liberation Serif" w:eastAsia="Segoe UI"/>
          <w:i/>
          <w:iCs/>
          <w:lang w:val="en-US" w:eastAsia="en-US" w:bidi="en-US"/>
        </w:rPr>
        <w:t>envolvidos, caso em que deverá haver justificativa específica nos autos,</w:t>
      </w:r>
    </w:p>
    <w:p>
      <w:r>
        <w:rPr>
          <w:rFonts w:ascii="Liberation Serif" w:hAnsi="Liberation Serif" w:eastAsia="Segoe UI"/>
          <w:i/>
          <w:iCs/>
          <w:lang w:val="en-US" w:eastAsia="en-US" w:bidi="en-US"/>
        </w:rPr>
        <w:t>conforme art. 98 da Lei nº 14.133, de 2021;</w:t>
      </w:r>
    </w:p>
    <w:p>
      <w:r>
        <w:rPr>
          <w:rFonts w:ascii="Liberation Serif" w:hAnsi="Liberation Serif" w:eastAsia="Segoe UI"/>
          <w:i/>
          <w:iCs/>
          <w:lang w:val="en-US" w:eastAsia="en-US" w:bidi="en-US"/>
        </w:rPr>
        <w:t>c) deverá ser acrescido de</w:t>
      </w:r>
    </w:p>
    <w:p>
      <w:r>
        <w:rPr>
          <w:rFonts w:ascii="Liberation Serif" w:hAnsi="Liberation Serif" w:eastAsia="Segoe UI"/>
          <w:i/>
          <w:iCs/>
          <w:lang w:val="en-US" w:eastAsia="en-US" w:bidi="en-US"/>
        </w:rPr>
        <w:t>garantia adicional aos percentuais citados anteriormente, em casos de previsão</w:t>
      </w:r>
    </w:p>
    <w:p>
      <w:r>
        <w:rPr>
          <w:rFonts w:ascii="Liberation Serif" w:hAnsi="Liberation Serif" w:eastAsia="Segoe UI"/>
          <w:i/>
          <w:iCs/>
          <w:lang w:val="en-US" w:eastAsia="en-US" w:bidi="en-US"/>
        </w:rPr>
        <w:t xml:space="preserve">de antecipação de pagamento, nos termos do </w:t>
      </w:r>
      <w:r>
        <w:fldChar w:fldCharType="begin"/>
      </w:r>
      <w:r>
        <w:instrText> HYPERLINK "http://www.planalto.gov.br/ccivil_03/_ato2019-2022/2021/lei/L14133.htm" \l "art145§2"</w:instrText>
      </w:r>
      <w:r>
        <w:fldChar w:fldCharType="separate"/>
      </w:r>
      <w:r>
        <w:rPr>
          <w:rFonts w:ascii="Liberation Serif" w:hAnsi="Liberation Serif" w:eastAsia="Segoe UI"/>
          <w:i/>
          <w:iCs/>
          <w:lang w:val="en-US" w:eastAsia="en-US" w:bidi="en-US"/>
        </w:rPr>
        <w:t>art. 145, § 2º, da Lei nº 14.133, de 2021</w:t>
      </w:r>
      <w:r>
        <w:fldChar w:fldCharType="end"/>
      </w:r>
      <w:r>
        <w:rPr>
          <w:rFonts w:ascii="Liberation Serif" w:hAnsi="Liberation Serif" w:eastAsia="Segoe UI"/>
          <w:i/>
          <w:iCs/>
          <w:lang w:val="en-US" w:eastAsia="en-US" w:bidi="en-US"/>
        </w:rPr>
        <w:t>;</w:t>
      </w:r>
    </w:p>
    <w:p>
      <w:r>
        <w:rPr>
          <w:rFonts w:ascii="Liberation Serif" w:hAnsi="Liberation Serif" w:eastAsia="Segoe UI"/>
          <w:i/>
          <w:iCs/>
          <w:lang w:val="en-US" w:eastAsia="en-US" w:bidi="en-US"/>
        </w:rPr>
        <w:t>d) Nos casos de contratos que impliquem a entrega de bens pela Administração, dos quais o contratado ficará depositário, o valor desses bens deverá ser acrescido ao valor da garantia calculado de acordo com os itens anteriores.</w:t>
      </w:r>
    </w:p>
    <w:p>
      <w:r>
        <w:rPr>
          <w:rFonts w:ascii="Liberation Serif" w:hAnsi="Liberation Serif" w:eastAsia="Segoe UI"/>
          <w:lang w:val="en-US" w:eastAsia="en-US" w:bidi="en-US"/>
        </w:rPr>
      </w:r>
    </w:p>
    <w:p>
      <w:r>
        <w:rPr>
          <w:rFonts w:ascii="Liberation Serif" w:hAnsi="Liberation Serif" w:eastAsia="Segoe UI"/>
          <w:b/>
          <w:bCs/>
          <w:i/>
          <w:iCs/>
          <w:lang w:val="en-US" w:eastAsia="en-US" w:bidi="en-US"/>
        </w:rPr>
        <w:t xml:space="preserve">Nota Explicativa 3: </w:t>
      </w:r>
      <w:r>
        <w:rPr>
          <w:rFonts w:ascii="Liberation Serif" w:hAnsi="Liberation Serif" w:eastAsia="Segoe UI"/>
          <w:i/>
          <w:iCs/>
          <w:lang w:val="en-US" w:eastAsia="en-US" w:bidi="en-US"/>
        </w:rPr>
        <w:t xml:space="preserve">No </w:t>
      </w:r>
      <w:r>
        <w:fldChar w:fldCharType="begin"/>
      </w:r>
      <w:r>
        <w:instrText> HYPERLINK "http://www.planalto.gov.br/ccivil_03/_ato2019-2022/2021/lei/L14133.htm" \l "art96§3"</w:instrText>
      </w:r>
      <w:r>
        <w:fldChar w:fldCharType="separate"/>
      </w:r>
      <w:r>
        <w:rPr>
          <w:rFonts w:ascii="Liberation Serif" w:hAnsi="Liberation Serif" w:eastAsia="Segoe UI"/>
          <w:i/>
          <w:iCs/>
          <w:lang w:val="en-US" w:eastAsia="en-US" w:bidi="en-US"/>
        </w:rPr>
        <w:t>art. 96, §3º, da Lei nº 14.133, de 2021</w:t>
      </w:r>
      <w:r>
        <w:fldChar w:fldCharType="end"/>
      </w:r>
      <w:r>
        <w:rPr>
          <w:rFonts w:ascii="Liberation Serif" w:hAnsi="Liberation Serif" w:eastAsia="Segoe UI"/>
          <w:i/>
          <w:iCs/>
          <w:lang w:val="en-US" w:eastAsia="en-US" w:bidi="en-US"/>
        </w:rPr>
        <w:t xml:space="preserve">, há previsão apenas do prazo para apresentação da garantia na modalidade seguro-garantia, em contratações precedidas de licitações, caso em que o prazo deverá ser contado da homologação da licitação. </w:t>
      </w:r>
      <w:r>
        <w:rPr>
          <w:rFonts w:ascii="Liberation Serif" w:hAnsi="Liberation Serif" w:eastAsia="Segoe UI"/>
          <w:lang w:val="en-US" w:eastAsia="en-US" w:bidi="en-US"/>
        </w:rPr>
        <w:t>(Aplica-se o mesmo entendimento para as contratações diretas precedidas de dispensa eletrônica)</w:t>
      </w:r>
    </w:p>
    <w:p>
      <w:r>
        <w:rPr>
          <w:rFonts w:ascii="Liberation Serif" w:hAnsi="Liberation Serif" w:eastAsia="Segoe UI"/>
          <w:i/>
          <w:iCs/>
          <w:lang w:val="en-US" w:eastAsia="en-US" w:bidi="en-US"/>
        </w:rPr>
        <w:t xml:space="preserve">Nas demais modalidades </w:t>
      </w:r>
      <w:r>
        <w:rPr>
          <w:rFonts w:ascii="Liberation Serif" w:hAnsi="Liberation Serif" w:eastAsia="Segoe UI"/>
          <w:lang w:val="en-US" w:eastAsia="en-US" w:bidi="en-US"/>
        </w:rPr>
        <w:t>de garantia</w:t>
      </w:r>
      <w:r>
        <w:rPr>
          <w:rFonts w:ascii="Liberation Serif" w:hAnsi="Liberation Serif" w:eastAsia="Segoe UI"/>
          <w:i/>
          <w:iCs/>
          <w:lang w:val="en-US" w:eastAsia="en-US" w:bidi="en-US"/>
        </w:rPr>
        <w:t>, deverá a Administração prever o prazo e o termo início de sua contagem para a apresentação da garantia. Como o seguro-garantia, nos termos da lei, teria de ser pré-contratual, esta disposição deve estar contida neste documento igualmente pré-contratual.</w:t>
      </w:r>
    </w:p>
    <w:p>
      <w:r>
        <w:rPr>
          <w:rFonts w:ascii="Liberation Serif" w:hAnsi="Liberation Serif" w:eastAsia="Segoe UI"/>
          <w:lang w:val="en-US" w:eastAsia="en-US" w:bidi="en-US"/>
        </w:rPr>
      </w:r>
    </w:p>
    <w:p>
      <w:r>
        <w:rPr>
          <w:rFonts w:ascii="Liberation Serif" w:hAnsi="Liberation Serif" w:eastAsia="Segoe UI"/>
          <w:lang w:val="en-US" w:eastAsia="en-US" w:bidi="en-US"/>
        </w:rPr>
      </w:r>
    </w:p>
  </w:comment>
  <w:comment w:id="13" w:author="Autor" w:date="0-00-00T00:00:00Z" w:initials="A">
    <w:p>
      <w:r>
        <w:rPr>
          <w:rFonts w:ascii="Liberation Serif" w:hAnsi="Liberation Serif" w:eastAsia="Segoe UI"/>
          <w:b/>
          <w:bCs/>
          <w:lang w:val="en-US" w:eastAsia="en-US" w:bidi="en-US"/>
        </w:rPr>
        <w:t>Nota explicativa</w:t>
      </w:r>
      <w:r>
        <w:rPr>
          <w:rFonts w:ascii="Liberation Serif" w:hAnsi="Liberation Serif" w:eastAsia="Segoe UI"/>
          <w:lang w:val="en-US" w:eastAsia="en-US" w:bidi="en-US"/>
        </w:rPr>
        <w:t>: Este item deve ser adaptado de acordo com as necessidades específicas do órgão ou entidade, apresentando-se, este modelo, de forma meramente exemplificativa.</w:t>
      </w:r>
    </w:p>
  </w:comment>
  <w:comment w:id="14" w:author="Autor" w:date="0-00-00T00:00:00Z" w:initials="A">
    <w:p>
      <w:r>
        <w:rPr>
          <w:rFonts w:ascii="Liberation Serif" w:hAnsi="Liberation Serif" w:eastAsia="Segoe UI"/>
          <w:b/>
          <w:bCs/>
          <w:i/>
          <w:iCs/>
          <w:color w:val="000000"/>
          <w:lang w:val="en-US" w:eastAsia="en-US" w:bidi="en-US"/>
        </w:rPr>
        <w:t xml:space="preserve">Nota Explicativa: </w:t>
      </w:r>
      <w:r>
        <w:rPr>
          <w:rFonts w:ascii="Liberation Serif" w:hAnsi="Liberation Serif" w:eastAsia="Segoe UI"/>
          <w:i/>
          <w:iCs/>
          <w:color w:val="000000"/>
          <w:lang w:val="en-US" w:eastAsia="en-US" w:bidi="en-US"/>
        </w:rPr>
        <w:t>em caso de remessa parcelada, discriminar as respectivas parcelas, prazos e condições. Esta tabela é meramente ilustrativa. Havendo a necessidade de alteração ou inclusão de dados para cada entrega, a tabela e seu conteúdo devem ser alterados.</w:t>
      </w:r>
    </w:p>
  </w:comment>
  <w:comment w:id="15" w:author="Autor" w:date="0-00-00T00:00:00Z" w:initials="A">
    <w:p>
      <w:r>
        <w:rPr>
          <w:rFonts w:ascii="Liberation Serif" w:hAnsi="Liberation Serif" w:eastAsia="Segoe UI"/>
          <w:b/>
          <w:bCs/>
          <w:i/>
          <w:iCs/>
          <w:color w:val="000000"/>
          <w:lang w:val="en-US" w:eastAsia="en-US" w:bidi="en-US"/>
        </w:rPr>
        <w:t xml:space="preserve">Nota Explicativa 1: </w:t>
      </w:r>
      <w:r>
        <w:rPr>
          <w:rFonts w:ascii="Liberation Serif" w:hAnsi="Liberation Serif" w:eastAsia="Segoe UI"/>
          <w:i/>
          <w:iCs/>
          <w:color w:val="000000"/>
          <w:lang w:val="en-US" w:eastAsia="en-US" w:bidi="en-US"/>
        </w:rPr>
        <w:t>Deverá ser registrado no Sistema de TR Digital a indicação dos locais de entrega de produtos e das regras para recebimentos provisório e definitivo, quando for o caso.</w:t>
      </w:r>
      <w:r>
        <w:rPr>
          <w:rFonts w:ascii="Liberation Serif" w:hAnsi="Liberation Serif" w:eastAsia="Segoe UI"/>
          <w:b/>
          <w:bCs/>
          <w:i/>
          <w:iCs/>
          <w:color w:val="000000"/>
          <w:lang w:val="en-US" w:eastAsia="en-US" w:bidi="en-US"/>
        </w:rPr>
        <w:t xml:space="preserve"> </w:t>
      </w:r>
      <w:r>
        <w:rPr>
          <w:rFonts w:ascii="Liberation Serif" w:hAnsi="Liberation Serif" w:eastAsia="Segoe UI"/>
          <w:i/>
          <w:iCs/>
          <w:lang w:val="en-US" w:eastAsia="en-US" w:bidi="en-US"/>
        </w:rPr>
        <w:t>(</w:t>
      </w:r>
      <w:hyperlink r:id="rId11">
        <w:r>
          <w:rPr>
            <w:rFonts w:ascii="Liberation Serif" w:hAnsi="Liberation Serif" w:eastAsia="Segoe UI"/>
            <w:i/>
            <w:iCs/>
            <w:lang w:val="en-US" w:eastAsia="en-US" w:bidi="en-US"/>
          </w:rPr>
          <w:t>art.9º, inciso I, alínea c, da IN Seges/ME nº 81, de 2022)</w:t>
        </w:r>
      </w:hyperlink>
      <w:r>
        <w:rPr>
          <w:rFonts w:ascii="Liberation Serif" w:hAnsi="Liberation Serif" w:eastAsia="Segoe UI"/>
          <w:i/>
          <w:iCs/>
          <w:lang w:val="en-US" w:eastAsia="en-US" w:bidi="en-US"/>
        </w:rPr>
        <w:t>.</w:t>
      </w:r>
    </w:p>
    <w:p>
      <w:r>
        <w:rPr>
          <w:rFonts w:ascii="Liberation Serif" w:hAnsi="Liberation Serif" w:eastAsia="Segoe UI"/>
          <w:lang w:val="en-US" w:eastAsia="en-US" w:bidi="en-US"/>
        </w:rPr>
      </w:r>
    </w:p>
    <w:p>
      <w:r>
        <w:rPr>
          <w:rFonts w:ascii="Liberation Serif" w:hAnsi="Liberation Serif" w:eastAsia="Segoe UI"/>
          <w:b/>
          <w:bCs/>
          <w:i/>
          <w:iCs/>
          <w:color w:val="000000"/>
          <w:lang w:val="en-US" w:eastAsia="en-US" w:bidi="en-US"/>
        </w:rPr>
        <w:t xml:space="preserve">Nota Explicativa 2: </w:t>
      </w:r>
      <w:r>
        <w:rPr>
          <w:rFonts w:ascii="Liberation Serif" w:hAnsi="Liberation Serif" w:eastAsia="Segoe UI"/>
          <w:i/>
          <w:iCs/>
          <w:color w:val="000000"/>
          <w:lang w:val="en-US" w:eastAsia="en-US" w:bidi="en-US"/>
        </w:rPr>
        <w:t>Caso haja mais de um endereço, deve-se especificar. Do mesmo modo, se os endereços se modificarem conforme cada entrega. Ademais, se houver a necessidade de previamente se acordar a data ou hora de entrega com o setor de almoxarifado respectivo, deve-se especificar essa obrigação.</w:t>
      </w:r>
    </w:p>
  </w:comment>
  <w:comment w:id="16" w:author="Autor" w:date="0-00-00T00:00:00Z" w:initials="A">
    <w:p>
      <w:r>
        <w:rPr>
          <w:rFonts w:ascii="Liberation Serif" w:hAnsi="Liberation Serif" w:eastAsia="Segoe UI"/>
          <w:b/>
          <w:bCs/>
          <w:i/>
          <w:iCs/>
          <w:color w:val="000000"/>
          <w:lang w:val="en-US" w:eastAsia="en-US" w:bidi="en-US"/>
        </w:rPr>
        <w:t>Nota Explicativa 1:</w:t>
      </w:r>
      <w:r>
        <w:rPr>
          <w:rFonts w:ascii="Liberation Serif" w:hAnsi="Liberation Serif" w:eastAsia="Segoe UI"/>
          <w:i/>
          <w:iCs/>
          <w:color w:val="000000"/>
          <w:lang w:val="en-US" w:eastAsia="en-US" w:bidi="en-US"/>
        </w:rPr>
        <w:t xml:space="preserve"> Fica a critério da Administração exigir - ou não - a garantia contratual dos bens, complementar à garantia legal, mediante a devida fundamentação, a ser exposta neste item do Termo de Referência. Não a exigindo, deverá suprimir o item. </w:t>
      </w:r>
    </w:p>
    <w:p>
      <w:r>
        <w:rPr>
          <w:rFonts w:ascii="Liberation Serif" w:hAnsi="Liberation Serif" w:eastAsia="Segoe UI"/>
          <w:lang w:val="en-US" w:eastAsia="en-US" w:bidi="en-US"/>
        </w:rPr>
      </w:r>
    </w:p>
    <w:p>
      <w:r>
        <w:rPr>
          <w:rFonts w:ascii="Liberation Serif" w:hAnsi="Liberation Serif" w:eastAsia="Segoe UI"/>
          <w:b/>
          <w:bCs/>
          <w:i/>
          <w:iCs/>
          <w:color w:val="000000"/>
          <w:lang w:val="en-US" w:eastAsia="en-US" w:bidi="en-US"/>
        </w:rPr>
        <w:t>Nota Explicativa 2</w:t>
      </w:r>
      <w:r>
        <w:rPr>
          <w:rFonts w:ascii="Liberation Serif" w:hAnsi="Liberation Serif" w:eastAsia="Segoe UI"/>
          <w:i/>
          <w:iCs/>
          <w:color w:val="000000"/>
          <w:lang w:val="en-US" w:eastAsia="en-US" w:bidi="en-US"/>
        </w:rPr>
        <w:t xml:space="preserve">: O </w:t>
      </w:r>
      <w:hyperlink r:id="rId12">
        <w:r>
          <w:rPr>
            <w:rFonts w:ascii="Liberation Serif" w:hAnsi="Liberation Serif" w:eastAsia="Segoe UI"/>
            <w:i/>
            <w:iCs/>
            <w:color w:val="000000"/>
            <w:lang w:val="en-US" w:eastAsia="en-US" w:bidi="en-US"/>
          </w:rPr>
          <w:t xml:space="preserve">artigo 9º, inciso alínea “d” </w:t>
        </w:r>
      </w:hyperlink>
      <w:hyperlink r:id="rId13">
        <w:r>
          <w:rPr>
            <w:rFonts w:ascii="Liberation Serif" w:hAnsi="Liberation Serif" w:eastAsia="Segoe UI"/>
            <w:i/>
            <w:iCs/>
            <w:color w:val="000000"/>
            <w:lang w:val="en-US" w:eastAsia="en-US" w:bidi="en-US"/>
          </w:rPr>
          <w:t>da IN Seges/ME nº 81</w:t>
        </w:r>
      </w:hyperlink>
      <w:r>
        <w:rPr>
          <w:rFonts w:ascii="Liberation Serif" w:hAnsi="Liberation Serif" w:eastAsia="Segoe UI"/>
          <w:i/>
          <w:iCs/>
          <w:lang w:val="en-US" w:eastAsia="en-US" w:bidi="en-US"/>
        </w:rPr>
        <w:t xml:space="preserve"> de 2022 ex</w:t>
      </w:r>
      <w:r>
        <w:rPr>
          <w:rFonts w:ascii="Liberation Serif" w:hAnsi="Liberation Serif" w:eastAsia="Segoe UI"/>
          <w:i/>
          <w:iCs/>
          <w:color w:val="000000"/>
          <w:lang w:val="en-US" w:eastAsia="en-US" w:bidi="en-US"/>
        </w:rPr>
        <w:t>ige que a inserção no TR Digital da especificação da garantia exigida e das condições de manutenção e assistência técnica, quando for o caso.</w:t>
      </w:r>
    </w:p>
  </w:comment>
  <w:comment w:id="17" w:author="Autor" w:date="0-00-00T00:00:00Z" w:initials="A">
    <w:p>
      <w:r>
        <w:rPr>
          <w:rFonts w:ascii="Liberation Serif" w:hAnsi="Liberation Serif" w:eastAsia="Segoe UI"/>
          <w:b/>
          <w:bCs/>
          <w:lang w:val="en-US" w:eastAsia="en-US" w:bidi="en-US"/>
        </w:rPr>
        <w:t xml:space="preserve">Nota Explicativa: </w:t>
      </w:r>
      <w:r>
        <w:rPr>
          <w:rFonts w:ascii="Liberation Serif" w:hAnsi="Liberation Serif" w:eastAsia="Segoe UI"/>
          <w:lang w:val="en-US" w:eastAsia="en-US" w:bidi="en-US"/>
        </w:rPr>
        <w:t>Sugere-se esta redação para material de consumo</w:t>
      </w:r>
    </w:p>
  </w:comment>
  <w:comment w:id="18" w:author="Autor" w:date="0-00-00T00:00:00Z" w:initials="A">
    <w:p>
      <w:r>
        <w:rPr>
          <w:rFonts w:ascii="Liberation Serif" w:hAnsi="Liberation Serif" w:eastAsia="Segoe UI"/>
          <w:b/>
          <w:bCs/>
          <w:i/>
          <w:iCs/>
          <w:color w:val="000000"/>
          <w:lang w:val="en-US" w:eastAsia="en-US" w:bidi="en-US"/>
        </w:rPr>
        <w:t>Nota Explicativa:</w:t>
      </w:r>
      <w:r>
        <w:rPr>
          <w:rFonts w:ascii="Liberation Serif" w:hAnsi="Liberation Serif" w:eastAsia="Segoe UI"/>
          <w:i/>
          <w:iCs/>
          <w:color w:val="000000"/>
          <w:lang w:val="en-US" w:eastAsia="en-US" w:bidi="en-US"/>
        </w:rPr>
        <w:t xml:space="preserve"> Desde que fundamentado em estudo técnico preliminar, a Administração poderá exigir que os serviços de manutenção e assistência técnica sejam prestados mediante deslocamento de técnico ou disponibilizados em unidade de prestação de serviços localizada em distância compatível com suas necessidades. (</w:t>
      </w:r>
      <w:hyperlink r:id="rId14">
        <w:r>
          <w:rPr>
            <w:rFonts w:ascii="Liberation Serif" w:hAnsi="Liberation Serif" w:eastAsia="Segoe UI"/>
            <w:i/>
            <w:iCs/>
            <w:color w:val="000000"/>
            <w:lang w:val="en-US" w:eastAsia="en-US" w:bidi="en-US"/>
          </w:rPr>
          <w:t>Art. 40, §4º, Lei nº 14.133, de 2021</w:t>
        </w:r>
      </w:hyperlink>
      <w:r>
        <w:rPr>
          <w:rFonts w:ascii="Liberation Serif" w:hAnsi="Liberation Serif" w:eastAsia="Segoe UI"/>
          <w:i/>
          <w:iCs/>
          <w:color w:val="000000"/>
          <w:lang w:val="en-US" w:eastAsia="en-US" w:bidi="en-US"/>
        </w:rPr>
        <w:t xml:space="preserve">, e </w:t>
      </w:r>
      <w:hyperlink r:id="rId15">
        <w:r>
          <w:rPr>
            <w:rFonts w:ascii="Liberation Serif" w:hAnsi="Liberation Serif" w:eastAsia="Segoe UI"/>
            <w:i/>
            <w:iCs/>
            <w:color w:val="000000"/>
            <w:lang w:val="en-US" w:eastAsia="en-US" w:bidi="en-US"/>
          </w:rPr>
          <w:t>art. 10, inciso II, da Instrução Normativa SEGES/ME nº 58, de 2022</w:t>
        </w:r>
      </w:hyperlink>
      <w:r>
        <w:rPr>
          <w:rFonts w:ascii="Liberation Serif" w:hAnsi="Liberation Serif" w:eastAsia="Segoe UI"/>
          <w:i/>
          <w:iCs/>
          <w:color w:val="000000"/>
          <w:lang w:val="en-US" w:eastAsia="en-US" w:bidi="en-US"/>
        </w:rPr>
        <w:t>).</w:t>
      </w:r>
    </w:p>
  </w:comment>
  <w:comment w:id="19" w:author="Autor" w:date="0-00-00T00:00:00Z" w:initials="A">
    <w:p>
      <w:r>
        <w:rPr>
          <w:rFonts w:ascii="Liberation Serif" w:hAnsi="Liberation Serif" w:eastAsia="Segoe UI"/>
          <w:b/>
          <w:bCs/>
          <w:lang w:val="en-US" w:eastAsia="en-US" w:bidi="en-US"/>
        </w:rPr>
        <w:t xml:space="preserve">Nota Explicativa: </w:t>
      </w:r>
      <w:r>
        <w:rPr>
          <w:rFonts w:ascii="Liberation Serif" w:hAnsi="Liberation Serif" w:eastAsia="Segoe UI"/>
          <w:lang w:val="en-US" w:eastAsia="en-US" w:bidi="en-US"/>
        </w:rPr>
        <w:t xml:space="preserve">Os gestores e fiscais do contrato serão designados pela autoridade máxima do órgão ou da entidade, ou a quem as normas de organização administrativa indicarem, na forma do </w:t>
      </w:r>
      <w:hyperlink r:id="rId16">
        <w:r>
          <w:rPr>
            <w:rFonts w:ascii="Liberation Serif" w:hAnsi="Liberation Serif" w:eastAsia="Segoe UI"/>
            <w:lang w:val="en-US" w:eastAsia="en-US" w:bidi="en-US"/>
          </w:rPr>
          <w:t>art. 7º da Lei nº 14.133, de 2021</w:t>
        </w:r>
      </w:hyperlink>
      <w:r>
        <w:rPr>
          <w:rFonts w:ascii="Liberation Serif" w:hAnsi="Liberation Serif" w:eastAsia="Segoe UI"/>
          <w:lang w:val="en-US" w:eastAsia="en-US" w:bidi="en-US"/>
        </w:rPr>
        <w:t xml:space="preserve">, e art. 8º do </w:t>
      </w:r>
      <w:hyperlink r:id="rId17">
        <w:r>
          <w:rPr>
            <w:rFonts w:ascii="Liberation Serif" w:hAnsi="Liberation Serif" w:eastAsia="Segoe UI"/>
            <w:lang w:val="en-US" w:eastAsia="en-US" w:bidi="en-US"/>
          </w:rPr>
          <w:t>Decreto nº 11.246, de 2022</w:t>
        </w:r>
      </w:hyperlink>
      <w:r>
        <w:rPr>
          <w:rFonts w:ascii="Liberation Serif" w:hAnsi="Liberation Serif" w:eastAsia="Segoe UI"/>
          <w:lang w:val="en-US" w:eastAsia="en-US" w:bidi="en-US"/>
        </w:rPr>
        <w:t>, devendo a Administração instruir os autos com as publicações dos atos de designação dos agentes públicos para o exercício dessas funções.</w:t>
      </w:r>
    </w:p>
  </w:comment>
  <w:comment w:id="20" w:author="Autor" w:date="0-00-00T00:00:00Z" w:initials="A">
    <w:p>
      <w:r>
        <w:rPr>
          <w:rFonts w:ascii="Liberation Serif" w:hAnsi="Liberation Serif" w:eastAsia="Segoe UI"/>
          <w:b/>
          <w:bCs/>
          <w:i/>
          <w:iCs/>
          <w:color w:val="000000"/>
          <w:lang w:val="en-US" w:eastAsia="en-US" w:bidi="en-US"/>
        </w:rPr>
        <w:t>Nota Explicativa:</w:t>
      </w:r>
      <w:r>
        <w:rPr>
          <w:rFonts w:ascii="Liberation Serif" w:hAnsi="Liberation Serif" w:eastAsia="Segoe UI"/>
          <w:i/>
          <w:iCs/>
          <w:color w:val="000000"/>
          <w:lang w:val="en-US" w:eastAsia="en-US" w:bidi="en-US"/>
        </w:rPr>
        <w:t xml:space="preserve"> Inserir o subitem 6.12 se for o caso para inclusão de rotinas de fiscalização específicas para atender às peculiaridades do objeto contratado.</w:t>
      </w:r>
    </w:p>
  </w:comment>
  <w:comment w:id="21" w:author="Autor" w:date="0-00-00T00:00:00Z" w:initials="A">
    <w:p>
      <w:r>
        <w:rPr>
          <w:rFonts w:ascii="Liberation Serif" w:hAnsi="Liberation Serif" w:eastAsia="Segoe UI"/>
          <w:b/>
          <w:lang w:val="en-US" w:eastAsia="en-US" w:bidi="en-US"/>
        </w:rPr>
        <w:t>Nota Explicativa:</w:t>
      </w:r>
      <w:r>
        <w:rPr>
          <w:rFonts w:ascii="Liberation Serif" w:hAnsi="Liberation Serif" w:eastAsia="Segoe UI"/>
          <w:lang w:val="en-US" w:eastAsia="en-US" w:bidi="en-US"/>
        </w:rPr>
        <w:t xml:space="preserve"> O modelo contém redação mais simples de recebimento. Caso se entenda que há necessidade de maior detalhamento, o órgão poderá promover aprimoramento da redação nesse ponto, inclusive com disciplina do recebimento provisório pelo fiscal técnico e administrativo, se for o caso.</w:t>
      </w:r>
    </w:p>
  </w:comment>
  <w:comment w:id="22" w:author="Autor" w:date="0-00-00T00:00:00Z" w:initials="A">
    <w:p>
      <w:r>
        <w:rPr>
          <w:rFonts w:ascii="Liberation Serif" w:hAnsi="Liberation Serif" w:eastAsia="Segoe UI"/>
          <w:b/>
          <w:bCs/>
          <w:i/>
          <w:iCs/>
          <w:color w:val="000000"/>
          <w:lang w:val="en-US" w:eastAsia="en-US" w:bidi="en-US"/>
        </w:rPr>
        <w:t>Nota explicativa:</w:t>
      </w:r>
      <w:r>
        <w:rPr>
          <w:rFonts w:ascii="Liberation Serif" w:hAnsi="Liberation Serif" w:eastAsia="Segoe UI"/>
          <w:i/>
          <w:iCs/>
          <w:color w:val="000000"/>
          <w:lang w:val="en-US" w:eastAsia="en-US" w:bidi="en-US"/>
        </w:rPr>
        <w:t xml:space="preserve"> O art. 7º, inciso I, </w:t>
      </w:r>
      <w:hyperlink r:id="rId18">
        <w:r>
          <w:rPr>
            <w:rFonts w:ascii="Liberation Serif" w:hAnsi="Liberation Serif" w:eastAsia="Segoe UI"/>
            <w:i/>
            <w:iCs/>
            <w:color w:val="000000"/>
            <w:lang w:val="en-US" w:eastAsia="en-US" w:bidi="en-US"/>
          </w:rPr>
          <w:t>da Instrução Normativa SEGES/ME nº 77, de 4 de novembro de 2022</w:t>
        </w:r>
      </w:hyperlink>
      <w:r>
        <w:rPr>
          <w:rFonts w:ascii="Liberation Serif" w:hAnsi="Liberation Serif" w:eastAsia="Segoe UI"/>
          <w:i/>
          <w:iCs/>
          <w:color w:val="000000"/>
          <w:lang w:val="en-US" w:eastAsia="en-US" w:bidi="en-US"/>
        </w:rPr>
        <w:t xml:space="preserve">, estabelece o prazo de 10 (dez dias) úteis para a liquidação da despesa, </w:t>
      </w:r>
      <w:r>
        <w:rPr>
          <w:rFonts w:ascii="Liberation Serif" w:hAnsi="Liberation Serif" w:eastAsia="Segoe UI"/>
          <w:b/>
          <w:bCs/>
          <w:i/>
          <w:iCs/>
          <w:color w:val="000000"/>
          <w:lang w:val="en-US" w:eastAsia="en-US" w:bidi="en-US"/>
        </w:rPr>
        <w:t xml:space="preserve">a contar do recebimento da nota fiscal ou instrumento de cobrança equivalente </w:t>
      </w:r>
      <w:r>
        <w:rPr>
          <w:rFonts w:ascii="Liberation Serif" w:hAnsi="Liberation Serif" w:eastAsia="Segoe UI"/>
          <w:i/>
          <w:iCs/>
          <w:color w:val="000000"/>
          <w:lang w:val="en-US" w:eastAsia="en-US" w:bidi="en-US"/>
        </w:rPr>
        <w:t xml:space="preserve">pela Administração. Tendo em vista que os bens serão entregues para a Administração juntamente com a respectiva nota fiscal ou instrumento equivalente de cobrança (fatura, invoice etc.), deve-se concluir que, no caso das compras, durante o curso do prazo de liquidação, a Administração deverá realizar também os recebimentos provisório e definitivo do bem. Em outras palavras, </w:t>
      </w:r>
      <w:r>
        <w:rPr>
          <w:rFonts w:ascii="Liberation Serif" w:hAnsi="Liberation Serif" w:eastAsia="Segoe UI"/>
          <w:b/>
          <w:bCs/>
          <w:i/>
          <w:iCs/>
          <w:color w:val="000000"/>
          <w:lang w:val="en-US" w:eastAsia="en-US" w:bidi="en-US"/>
        </w:rPr>
        <w:t>o prazo máximo de 10 dias úteis deverá ser suficiente para as providências de recebimentos provisório, definitivo e de liquidação</w:t>
      </w:r>
      <w:r>
        <w:rPr>
          <w:rFonts w:ascii="Liberation Serif" w:hAnsi="Liberation Serif" w:eastAsia="Segoe UI"/>
          <w:i/>
          <w:iCs/>
          <w:color w:val="000000"/>
          <w:lang w:val="en-US" w:eastAsia="en-US" w:bidi="en-US"/>
        </w:rPr>
        <w:t xml:space="preserve">. Assim, embora a </w:t>
      </w:r>
      <w:hyperlink r:id="rId19">
        <w:r>
          <w:rPr>
            <w:rFonts w:ascii="Liberation Serif" w:hAnsi="Liberation Serif" w:eastAsia="Segoe UI"/>
            <w:i/>
            <w:iCs/>
            <w:color w:val="000000"/>
            <w:lang w:val="en-US" w:eastAsia="en-US" w:bidi="en-US"/>
          </w:rPr>
          <w:t>Lei nº 14.133/21</w:t>
        </w:r>
      </w:hyperlink>
      <w:r>
        <w:rPr>
          <w:rFonts w:ascii="Liberation Serif" w:hAnsi="Liberation Serif" w:eastAsia="Segoe UI"/>
          <w:i/>
          <w:iCs/>
          <w:color w:val="000000"/>
          <w:lang w:val="en-US" w:eastAsia="en-US" w:bidi="en-US"/>
        </w:rPr>
        <w:t xml:space="preserve"> não fixe prazo máximo de recebimento definitivo, este prazo deverá ser inferior ao fixado para liquidação de despesa pela </w:t>
      </w:r>
      <w:hyperlink r:id="rId20">
        <w:r>
          <w:rPr>
            <w:rFonts w:ascii="Liberation Serif" w:hAnsi="Liberation Serif" w:eastAsia="Segoe UI"/>
            <w:i/>
            <w:iCs/>
            <w:color w:val="000000"/>
            <w:lang w:val="en-US" w:eastAsia="en-US" w:bidi="en-US"/>
          </w:rPr>
          <w:t>IN SEGES/ME nº 77, de 2022</w:t>
        </w:r>
      </w:hyperlink>
      <w:r>
        <w:rPr>
          <w:rFonts w:ascii="Liberation Serif" w:hAnsi="Liberation Serif" w:eastAsia="Segoe UI"/>
          <w:i/>
          <w:iCs/>
          <w:color w:val="000000"/>
          <w:lang w:val="en-US" w:eastAsia="en-US" w:bidi="en-US"/>
        </w:rPr>
        <w:t>. Portanto, a Administração deve definir o prazo de recebimento considerando o máximo de 10 dias úteis, a sua realidade administrativa, a complexidade do objeto e o tempo que será consumido para os procedimentos contábeis de liquidação. Em sendo detectado, na fase de planejamento da contratação (notadamente no gerenciamento dos riscos), que haverá dificuldades para cumprimento do prazo estabelecido, deverão ser previstas medidas para superar tais contingências.</w:t>
      </w:r>
    </w:p>
  </w:comment>
  <w:comment w:id="23" w:author="Autor" w:date="0-00-00T00:00:00Z" w:initials="A">
    <w:p>
      <w:r>
        <w:rPr>
          <w:rFonts w:ascii="Liberation Serif" w:hAnsi="Liberation Serif" w:eastAsia="Segoe UI"/>
          <w:b/>
          <w:bCs/>
          <w:i/>
          <w:iCs/>
          <w:color w:val="000000"/>
          <w:lang w:val="en-US" w:eastAsia="en-US" w:bidi="en-US"/>
        </w:rPr>
        <w:t xml:space="preserve">Nota Explicativa: </w:t>
      </w:r>
      <w:r>
        <w:rPr>
          <w:rFonts w:ascii="Liberation Serif" w:hAnsi="Liberation Serif" w:eastAsia="Segoe UI"/>
          <w:i/>
          <w:iCs/>
          <w:color w:val="000000"/>
          <w:lang w:val="en-US" w:eastAsia="en-US" w:bidi="en-US"/>
        </w:rPr>
        <w:t xml:space="preserve">Observar que o artigo 7º, §2º, </w:t>
      </w:r>
      <w:hyperlink r:id="rId21">
        <w:r>
          <w:rPr>
            <w:rFonts w:ascii="Liberation Serif" w:hAnsi="Liberation Serif" w:eastAsia="Segoe UI"/>
            <w:i/>
            <w:iCs/>
            <w:color w:val="000000"/>
            <w:lang w:val="en-US" w:eastAsia="en-US" w:bidi="en-US"/>
          </w:rPr>
          <w:t>da Instrução Normativa nº 77, de 2022</w:t>
        </w:r>
      </w:hyperlink>
      <w:r>
        <w:rPr>
          <w:rFonts w:ascii="Liberation Serif" w:hAnsi="Liberation Serif" w:eastAsia="Segoe UI"/>
          <w:i/>
          <w:iCs/>
          <w:color w:val="000000"/>
          <w:lang w:val="en-US" w:eastAsia="en-US" w:bidi="en-US"/>
        </w:rPr>
        <w:t xml:space="preserve">, prevê que “Para as contratações decorrentes de despesas cujos valores não ultrapassem o limite de que trata o inciso II do </w:t>
      </w:r>
      <w:hyperlink r:id="rId22">
        <w:r>
          <w:rPr>
            <w:rFonts w:ascii="Liberation Serif" w:hAnsi="Liberation Serif" w:eastAsia="Segoe UI"/>
            <w:i/>
            <w:iCs/>
            <w:color w:val="000000"/>
            <w:lang w:val="en-US" w:eastAsia="en-US" w:bidi="en-US"/>
          </w:rPr>
          <w:t>art. 75 da Lei nº 14.133, de 2021</w:t>
        </w:r>
      </w:hyperlink>
      <w:r>
        <w:rPr>
          <w:rFonts w:ascii="Liberation Serif" w:hAnsi="Liberation Serif" w:eastAsia="Segoe UI"/>
          <w:i/>
          <w:iCs/>
          <w:color w:val="000000"/>
          <w:lang w:val="en-US" w:eastAsia="en-US" w:bidi="en-US"/>
        </w:rPr>
        <w:t xml:space="preserve">, os prazos de que dos incisos I e II do caput </w:t>
      </w:r>
      <w:r>
        <w:rPr>
          <w:rFonts w:ascii="Liberation Serif" w:hAnsi="Liberation Serif" w:eastAsia="Segoe UI"/>
          <w:b/>
          <w:bCs/>
          <w:i/>
          <w:iCs/>
          <w:color w:val="000000"/>
          <w:lang w:val="en-US" w:eastAsia="en-US" w:bidi="en-US"/>
        </w:rPr>
        <w:t>serão reduzidos pela metade</w:t>
      </w:r>
      <w:r>
        <w:rPr>
          <w:rFonts w:ascii="Liberation Serif" w:hAnsi="Liberation Serif" w:eastAsia="Segoe UI"/>
          <w:i/>
          <w:iCs/>
          <w:color w:val="000000"/>
          <w:lang w:val="en-US" w:eastAsia="en-US" w:bidi="en-US"/>
        </w:rPr>
        <w:t>.” (g.n). Como o prazo máximo de liquidação será reduzido pela metade, então o prazo de recebimento também deverá ser ajustado.</w:t>
      </w:r>
    </w:p>
  </w:comment>
  <w:comment w:id="24" w:author="Autor" w:date="0-00-00T00:00:00Z" w:initials="A">
    <w:p>
      <w:r>
        <w:rPr>
          <w:rFonts w:ascii="Liberation Serif" w:hAnsi="Liberation Serif" w:eastAsia="Segoe UI"/>
          <w:b/>
          <w:bCs/>
          <w:i/>
          <w:iCs/>
          <w:color w:val="000000"/>
          <w:lang w:val="en-US" w:eastAsia="en-US" w:bidi="en-US"/>
        </w:rPr>
        <w:t>Nota Explicativa:</w:t>
      </w:r>
      <w:r>
        <w:rPr>
          <w:rFonts w:ascii="Liberation Serif" w:hAnsi="Liberation Serif" w:eastAsia="Segoe UI"/>
          <w:i/>
          <w:iCs/>
          <w:color w:val="000000"/>
          <w:lang w:val="en-US" w:eastAsia="en-US" w:bidi="en-US"/>
        </w:rPr>
        <w:t xml:space="preserve"> Deverá a Administração indicar o índice de preços a ser utilizado para a atualização monetária do valor devido ao contratado.</w:t>
      </w:r>
    </w:p>
  </w:comment>
  <w:comment w:id="25" w:author="Autor" w:date="0-00-00T00:00:00Z" w:initials="A">
    <w:p>
      <w:r>
        <w:rPr>
          <w:rFonts w:ascii="Liberation Serif" w:hAnsi="Liberation Serif" w:eastAsia="Segoe UI"/>
          <w:b/>
          <w:bCs/>
          <w:i/>
          <w:iCs/>
          <w:color w:val="000000"/>
          <w:lang w:val="en-US" w:eastAsia="en-US" w:bidi="en-US"/>
        </w:rPr>
        <w:t xml:space="preserve">Nota Explicativa: </w:t>
      </w:r>
      <w:r>
        <w:rPr>
          <w:rFonts w:ascii="Liberation Serif" w:hAnsi="Liberation Serif" w:eastAsia="Segoe UI"/>
          <w:i/>
          <w:iCs/>
          <w:color w:val="000000"/>
          <w:lang w:val="en-US" w:eastAsia="en-US" w:bidi="en-US"/>
        </w:rPr>
        <w:t>A natureza do contrato e o objeto da contratação irão determinar a retenção tributária eventualmente cabível, bem como a possibilidade de a empresa se beneficiar da condição de optante do Simples Nacional, dentre outras questões de caráter tributário.</w:t>
      </w:r>
    </w:p>
  </w:comment>
  <w:comment w:id="26" w:author="Autor" w:date="0-00-00T00:00:00Z" w:initials="A">
    <w:p>
      <w:r>
        <w:rPr>
          <w:rFonts w:ascii="Liberation Serif" w:hAnsi="Liberation Serif" w:eastAsia="Segoe UI"/>
          <w:b/>
          <w:bCs/>
          <w:i/>
          <w:iCs/>
          <w:color w:val="000000"/>
          <w:lang w:val="en-US" w:eastAsia="en-US" w:bidi="en-US"/>
        </w:rPr>
        <w:t>Nota Explicativa:</w:t>
      </w:r>
      <w:r>
        <w:rPr>
          <w:rFonts w:ascii="Liberation Serif" w:hAnsi="Liberation Serif" w:eastAsia="Segoe UI"/>
          <w:i/>
          <w:iCs/>
          <w:color w:val="000000"/>
          <w:lang w:val="en-US" w:eastAsia="en-US" w:bidi="en-US"/>
        </w:rPr>
        <w:t xml:space="preserve"> Incluir esse item no caso de a contratação adotar o pagamento antecipado previsto no</w:t>
      </w:r>
      <w:hyperlink r:id="rId23">
        <w:r>
          <w:rPr>
            <w:rFonts w:ascii="Liberation Serif" w:hAnsi="Liberation Serif" w:eastAsia="Segoe UI"/>
            <w:i/>
            <w:iCs/>
            <w:color w:val="000000"/>
            <w:lang w:val="en-US" w:eastAsia="en-US" w:bidi="en-US"/>
          </w:rPr>
          <w:t xml:space="preserve"> § 1º do art. 145 da Lei nº 14.133, de 2021</w:t>
        </w:r>
      </w:hyperlink>
      <w:r>
        <w:rPr>
          <w:rFonts w:ascii="Liberation Serif" w:hAnsi="Liberation Serif" w:eastAsia="Segoe UI"/>
          <w:i/>
          <w:iCs/>
          <w:color w:val="000000"/>
          <w:lang w:val="en-US" w:eastAsia="en-US" w:bidi="en-US"/>
        </w:rPr>
        <w:t>.</w:t>
      </w:r>
    </w:p>
    <w:p>
      <w:r>
        <w:rPr>
          <w:rFonts w:ascii="Liberation Serif" w:hAnsi="Liberation Serif" w:eastAsia="Segoe UI"/>
          <w:i/>
          <w:iCs/>
          <w:color w:val="000000"/>
          <w:lang w:val="en-US" w:eastAsia="en-US" w:bidi="en-US"/>
        </w:rPr>
        <w:t>Importante lembrar que, para a utilização desse mecanismo, é necessário que se demonstre nos autos que a antecipação do pagamento é, alternativamente, ou condição indispensável para a obtenção do bem, ou propicia sensível economia de recursos (art. 145, § 1º, da Lei nº 14.133, de 2021). Em todo o caso, a lei impõe que a adoção do pagamento antecipado, parcial ou total, seja precedida de justificativa prévia.</w:t>
      </w:r>
    </w:p>
  </w:comment>
  <w:comment w:id="27" w:author="Autor" w:date="0-00-00T00:00:00Z" w:initials="A">
    <w:p>
      <w:r>
        <w:rPr>
          <w:rFonts w:ascii="Liberation Serif" w:hAnsi="Liberation Serif" w:eastAsia="Segoe UI"/>
          <w:b/>
          <w:bCs/>
          <w:i/>
          <w:iCs/>
          <w:color w:val="000000"/>
          <w:lang w:val="en-US" w:eastAsia="en-US" w:bidi="en-US"/>
        </w:rPr>
        <w:t>Nota Explicativa:</w:t>
      </w:r>
      <w:r>
        <w:rPr>
          <w:rFonts w:ascii="Liberation Serif" w:hAnsi="Liberation Serif" w:eastAsia="Segoe UI"/>
          <w:i/>
          <w:iCs/>
          <w:color w:val="000000"/>
          <w:lang w:val="en-US" w:eastAsia="en-US" w:bidi="en-US"/>
        </w:rPr>
        <w:t xml:space="preserve"> A </w:t>
      </w:r>
      <w:hyperlink r:id="rId24">
        <w:r>
          <w:rPr>
            <w:rFonts w:ascii="Liberation Serif" w:hAnsi="Liberation Serif" w:eastAsia="Segoe UI"/>
            <w:i/>
            <w:iCs/>
            <w:color w:val="000000"/>
            <w:lang w:val="en-US" w:eastAsia="en-US" w:bidi="en-US"/>
          </w:rPr>
          <w:t>IN SEGES/ME nº 53, de 2020</w:t>
        </w:r>
      </w:hyperlink>
      <w:r>
        <w:rPr>
          <w:rFonts w:ascii="Liberation Serif" w:hAnsi="Liberation Serif" w:eastAsia="Segoe UI"/>
          <w:i/>
          <w:iCs/>
          <w:color w:val="000000"/>
          <w:lang w:val="en-US" w:eastAsia="en-US" w:bidi="en-US"/>
        </w:rPr>
        <w:t xml:space="preserve">, disciplinou uma modalidade específica de cessão de crédito no âmbito dos contratos administrativos – a denominada “operação de crédito garantida por cessão fiduciária” (ou, simplesmente, “cessão fiduciária”) –, prescrevendo, em seu art. 15, que editais e contratos prevejam expressamente sua admissibilidade. A possibilidade de cessão dos créditos de que trata a referida Instrução Normativa é, portanto, mandatória/cogente/impositiva. </w:t>
      </w:r>
    </w:p>
    <w:p>
      <w:r>
        <w:rPr>
          <w:rFonts w:ascii="Liberation Serif" w:hAnsi="Liberation Serif" w:eastAsia="Segoe UI"/>
          <w:i/>
          <w:iCs/>
          <w:color w:val="000000"/>
          <w:lang w:val="en-US" w:eastAsia="en-US" w:bidi="en-US"/>
        </w:rPr>
        <w:t xml:space="preserve">A cessão fiduciária, regida pela </w:t>
      </w:r>
      <w:hyperlink r:id="rId25">
        <w:r>
          <w:rPr>
            <w:rFonts w:ascii="Liberation Serif" w:hAnsi="Liberation Serif" w:eastAsia="Segoe UI"/>
            <w:i/>
            <w:iCs/>
            <w:color w:val="000000"/>
            <w:lang w:val="en-US" w:eastAsia="en-US" w:bidi="en-US"/>
          </w:rPr>
          <w:t>IN SEGES/ME nº 53/2020</w:t>
        </w:r>
      </w:hyperlink>
      <w:r>
        <w:rPr>
          <w:rFonts w:ascii="Liberation Serif" w:hAnsi="Liberation Serif" w:eastAsia="Segoe UI"/>
          <w:i/>
          <w:iCs/>
          <w:color w:val="000000"/>
          <w:lang w:val="en-US" w:eastAsia="en-US" w:bidi="en-US"/>
        </w:rPr>
        <w:t xml:space="preserve">, é feita com instituição financeira, para garantia de operação de crédito e ocorre somente por intermédio do sistema </w:t>
      </w:r>
      <w:hyperlink r:id="rId26">
        <w:r>
          <w:rPr>
            <w:rFonts w:ascii="Liberation Serif" w:hAnsi="Liberation Serif" w:eastAsia="Segoe UI"/>
            <w:i/>
            <w:iCs/>
            <w:color w:val="000000"/>
            <w:lang w:val="en-US" w:eastAsia="en-US" w:bidi="en-US"/>
          </w:rPr>
          <w:t>AntecipaGOV</w:t>
        </w:r>
      </w:hyperlink>
      <w:r>
        <w:rPr>
          <w:rFonts w:ascii="Liberation Serif" w:hAnsi="Liberation Serif" w:eastAsia="Segoe UI"/>
          <w:i/>
          <w:iCs/>
          <w:color w:val="000000"/>
          <w:lang w:val="en-US" w:eastAsia="en-US" w:bidi="en-US"/>
        </w:rPr>
        <w:t>. Neste tipo de negócio jurídico, o fornecedor que detém um vínculo contratual com a Administração Pública, contrai empréstimo perante instituição financeira e, como garantia da operação, cede a esta última seus direitos creditórios pertinentes ao contrato administrativo.</w:t>
      </w:r>
    </w:p>
    <w:p>
      <w:r>
        <w:rPr>
          <w:rFonts w:ascii="Liberation Serif" w:hAnsi="Liberation Serif" w:eastAsia="Segoe UI"/>
          <w:i/>
          <w:iCs/>
          <w:color w:val="000000"/>
          <w:lang w:val="en-US" w:eastAsia="en-US" w:bidi="en-US"/>
        </w:rPr>
        <w:t xml:space="preserve">Já em relação às demais modalidades de cessão de crédito, não abrangidas pela IN SEGES/ME nº 53/2020, feitas com outros tipos de particulares, tem-se que sua previsão em editais e contratos administrativos, embora não obrigatória, continua admitida por força do </w:t>
      </w:r>
      <w:hyperlink r:id="rId27">
        <w:r>
          <w:rPr>
            <w:rFonts w:ascii="Liberation Serif" w:hAnsi="Liberation Serif" w:eastAsia="Segoe UI"/>
            <w:i/>
            <w:iCs/>
            <w:color w:val="000000"/>
            <w:lang w:val="en-US" w:eastAsia="en-US" w:bidi="en-US"/>
          </w:rPr>
          <w:t>Parecer JL-01, do Advogado-Geral da União</w:t>
        </w:r>
      </w:hyperlink>
      <w:r>
        <w:rPr>
          <w:rFonts w:ascii="Liberation Serif" w:hAnsi="Liberation Serif" w:eastAsia="Segoe UI"/>
          <w:i/>
          <w:iCs/>
          <w:color w:val="000000"/>
          <w:lang w:val="en-US" w:eastAsia="en-US" w:bidi="en-US"/>
        </w:rPr>
        <w:t>, aprovado pelo Sr. Presidente da República em 26/05/2020, e, portanto, vinculante para toda a administração pública (</w:t>
      </w:r>
      <w:r>
        <w:fldChar w:fldCharType="begin"/>
      </w:r>
      <w:r>
        <w:instrText> HYPERLINK "https://www.planalto.gov.br/ccivil_03/leis/lcp/lcp73.htm" \l ":~:text=LEI COMPLEMENTAR Nº 73%2C DE 10 DE FEVEREIRO DE 1993&amp;text=Institui a Lei Orgânica da,União e dá outras providências.&amp;text=Art.,a União judicial e extrajudicialmente."</w:instrText>
      </w:r>
      <w:r>
        <w:fldChar w:fldCharType="separate"/>
      </w:r>
      <w:r>
        <w:rPr>
          <w:rFonts w:ascii="Liberation Serif" w:hAnsi="Liberation Serif" w:eastAsia="Segoe UI"/>
          <w:i/>
          <w:iCs/>
          <w:color w:val="000000"/>
          <w:lang w:val="en-US" w:eastAsia="en-US" w:bidi="en-US"/>
        </w:rPr>
        <w:t>arts. 40, §1º, e 41 da Lei Complementar nº 73, de 1993</w:t>
      </w:r>
      <w:r>
        <w:fldChar w:fldCharType="end"/>
      </w:r>
      <w:r>
        <w:rPr>
          <w:rFonts w:ascii="Liberation Serif" w:hAnsi="Liberation Serif" w:eastAsia="Segoe UI"/>
          <w:i/>
          <w:iCs/>
          <w:color w:val="000000"/>
          <w:lang w:val="en-US" w:eastAsia="en-US" w:bidi="en-US"/>
        </w:rPr>
        <w:t xml:space="preserve">). </w:t>
      </w:r>
    </w:p>
    <w:p>
      <w:r>
        <w:rPr>
          <w:rFonts w:ascii="Liberation Serif" w:hAnsi="Liberation Serif" w:eastAsia="Segoe UI"/>
          <w:i/>
          <w:iCs/>
          <w:color w:val="000000"/>
          <w:lang w:val="en-US" w:eastAsia="en-US" w:bidi="en-US"/>
        </w:rPr>
        <w:t xml:space="preserve">Quanto a estas últimas, importa destacar a seguinte condicionante que foi erigida pelo referido </w:t>
      </w:r>
      <w:hyperlink r:id="rId28">
        <w:r>
          <w:rPr>
            <w:rFonts w:ascii="Liberation Serif" w:hAnsi="Liberation Serif" w:eastAsia="Segoe UI"/>
            <w:i/>
            <w:iCs/>
            <w:color w:val="000000"/>
            <w:lang w:val="en-US" w:eastAsia="en-US" w:bidi="en-US"/>
          </w:rPr>
          <w:t>Parecer nº JL – 01/2020</w:t>
        </w:r>
      </w:hyperlink>
      <w:r>
        <w:rPr>
          <w:rFonts w:ascii="Liberation Serif" w:hAnsi="Liberation Serif" w:eastAsia="Segoe UI"/>
          <w:i/>
          <w:iCs/>
          <w:color w:val="000000"/>
          <w:lang w:val="en-US" w:eastAsia="en-US" w:bidi="en-US"/>
        </w:rPr>
        <w:t xml:space="preserve"> como requisito para a sua admissibilidade em contratos administrativos: inexistência de vedação no instrumento convocatório. Assim, relativamente às cessões de crédito em geral, ter-se-á por admitida desde que não haja vedação em cláusula contratual ou no instrumento convocatório.</w:t>
      </w:r>
    </w:p>
    <w:p>
      <w:r>
        <w:rPr>
          <w:rFonts w:ascii="Liberation Serif" w:hAnsi="Liberation Serif" w:eastAsia="Segoe UI"/>
          <w:i/>
          <w:iCs/>
          <w:color w:val="000000"/>
          <w:lang w:val="en-US" w:eastAsia="en-US" w:bidi="en-US"/>
        </w:rPr>
        <w:t>Para diferenciar uma da outra, orienta-se verificar a pessoa do cessionário, se instituição financeira ou não (no primeiro caso, tenderá a ser cessão fiduciária, portanto obrigatoriamente permitida) e se a destinação é garantir uma operação de crédito (também necessário para o enquadramento como fiduciária).</w:t>
      </w:r>
    </w:p>
  </w:comment>
  <w:comment w:id="29" w:author="Autor" w:date="0-00-00T00:00:00Z" w:initials="A">
    <w:p>
      <w:r>
        <w:rPr>
          <w:rFonts w:ascii="Liberation Serif" w:hAnsi="Liberation Serif" w:eastAsia="Segoe UI"/>
          <w:b/>
          <w:bCs/>
          <w:i/>
          <w:iCs/>
          <w:lang w:val="en-US" w:eastAsia="en-US" w:bidi="en-US"/>
        </w:rPr>
        <w:t>Nota Explicativa:</w:t>
      </w:r>
      <w:r>
        <w:rPr>
          <w:rFonts w:ascii="Liberation Serif" w:hAnsi="Liberation Serif" w:eastAsia="Segoe UI"/>
          <w:i/>
          <w:iCs/>
          <w:lang w:val="en-US" w:eastAsia="en-US" w:bidi="en-US"/>
        </w:rPr>
        <w:t xml:space="preserve"> A IN SEGES/ME nº 53, de 2020, disciplinou uma modalidade específica de cessão de crédito no âmbito dos contratos administrativos – a denominada “operação de crédito garantida por cessão fiduciária” (ou, simplesmente, “cessão fiduciária”) –, prescrevendo, em seu art. 15, que editais e contratos prevejam expressamente sua admissibilidade. A possibilidade de cessão dos créditos de que trata a referida Instrução Normativa é, portanto, mandatória/cogente/impositiva.</w:t>
      </w:r>
    </w:p>
    <w:p>
      <w:r>
        <w:rPr>
          <w:rFonts w:ascii="Liberation Serif" w:hAnsi="Liberation Serif" w:eastAsia="Segoe UI"/>
          <w:i/>
          <w:iCs/>
          <w:lang w:val="en-US" w:eastAsia="en-US" w:bidi="en-US"/>
        </w:rPr>
        <w:t>A cessão fiduciária, regida pela IN SEGES/ME nº 53/2020, é feita com instituição financeira, para garantia de operação de crédito e ocorre por intermédio do sistema AntecipaGOV. Neste tipo de negócio jurídico, o fornecedor que detém um vínculo contratual com a Administração Pública, contrai empréstimo perante instituição financeira e, como garantia da operação, cede a esta última seus direitos creditórios pertinentes ao contrato administrativo.</w:t>
      </w:r>
    </w:p>
    <w:p>
      <w:r>
        <w:rPr>
          <w:rFonts w:ascii="Liberation Serif" w:hAnsi="Liberation Serif" w:eastAsia="Segoe UI"/>
          <w:i/>
          <w:iCs/>
          <w:lang w:val="en-US" w:eastAsia="en-US" w:bidi="en-US"/>
        </w:rPr>
        <w:t>Já em relação às demais modalidades de cessão de crédito, não abrangidas pela IN SEGES/ME nº 53/2020, feitas com outros tipos de particulares, tem-se que sua previsão em editais e contratos administrativos, embora não obrigatória, continua admitida por força do Parecer JL-01, do Advogado-Geral da União (disponível em http://www.planalto.gov.br/ccivil_03/AGU/Pareceres/2019-2022/PRC-JL-01-2020.htm), aprovado pelo Sr. Presidente da República em 26/05/2020, e, portanto, vinculante para toda a administração pública (arts. 40, §1º e 41 da Lei Complementar nº 73, de 1993).</w:t>
      </w:r>
    </w:p>
    <w:p>
      <w:r>
        <w:rPr>
          <w:rFonts w:ascii="Liberation Serif" w:hAnsi="Liberation Serif" w:eastAsia="Segoe UI"/>
          <w:i/>
          <w:iCs/>
          <w:lang w:val="en-US" w:eastAsia="en-US" w:bidi="en-US"/>
        </w:rPr>
        <w:t>Quanto a estas últimas, importa destacar a seguinte condicionante que foi erigida pelo referido Parecer nº JL – 01/2020 como requisito para a sua admissibilidade em contratos administrativos: inexistência de vedação no instrumento convocatório. Assim, relativamente às cessões de crédito em geral, ter-se-á por admitida desde que não haja vedação em cláusula contratual ou no instrumento convocatório.</w:t>
      </w:r>
    </w:p>
    <w:p>
      <w:r>
        <w:rPr>
          <w:rFonts w:ascii="Liberation Serif" w:hAnsi="Liberation Serif" w:eastAsia="Segoe UI"/>
          <w:i/>
          <w:iCs/>
          <w:lang w:val="en-US" w:eastAsia="en-US" w:bidi="en-US"/>
        </w:rPr>
        <w:t>Para diferenciar uma da outra, orienta-se verificar a pessoa do cessionário, se instituição financeira ou não (no primeiro caso, tenderá a ser cessão fiduciária, portanto obrigatoriamente permitida) e se a destinação é garantir uma operação de crédito (também necessário para o enquadramento como fiduciária).</w:t>
      </w:r>
    </w:p>
  </w:comment>
  <w:comment w:id="28" w:author="Autor" w:date="0-00-00T00:00:00Z" w:initials="A">
    <w:p>
      <w:r>
        <w:rPr>
          <w:rFonts w:ascii="Liberation Serif" w:hAnsi="Liberation Serif" w:eastAsia="Segoe UI"/>
          <w:b/>
          <w:bCs/>
          <w:i/>
          <w:iCs/>
          <w:color w:val="000000"/>
          <w:lang w:val="en-US" w:eastAsia="en-US" w:bidi="en-US"/>
        </w:rPr>
        <w:t>Nota Explicativa:</w:t>
      </w:r>
      <w:r>
        <w:rPr>
          <w:rFonts w:ascii="Liberation Serif" w:hAnsi="Liberation Serif" w:eastAsia="Segoe UI"/>
          <w:i/>
          <w:iCs/>
          <w:color w:val="000000"/>
          <w:lang w:val="en-US" w:eastAsia="en-US" w:bidi="en-US"/>
        </w:rPr>
        <w:t xml:space="preserve"> No caso do subitem 7.33.1, o órgão contratante pode optar por mudar a redação para já vedar de plano as cessões não fiduciárias. Entretanto, reitera-se que as cessões fiduciárias (subitem 7.33) devem permanecer permitidas, por força do </w:t>
      </w:r>
      <w:hyperlink r:id="rId29">
        <w:r>
          <w:rPr>
            <w:rFonts w:ascii="Liberation Serif" w:hAnsi="Liberation Serif" w:eastAsia="Segoe UI"/>
            <w:i/>
            <w:iCs/>
            <w:color w:val="000000"/>
            <w:lang w:val="en-US" w:eastAsia="en-US" w:bidi="en-US"/>
          </w:rPr>
          <w:t>art. 15 da IN SEGES/ME nº 53/2020</w:t>
        </w:r>
      </w:hyperlink>
      <w:r>
        <w:rPr>
          <w:rFonts w:ascii="Liberation Serif" w:hAnsi="Liberation Serif" w:eastAsia="Segoe UI"/>
          <w:i/>
          <w:iCs/>
          <w:color w:val="000000"/>
          <w:lang w:val="en-US" w:eastAsia="en-US" w:bidi="en-US"/>
        </w:rPr>
        <w:t>.</w:t>
      </w:r>
    </w:p>
  </w:comment>
  <w:comment w:id="31" w:author="Autor" w:date="0-00-00T00:00:00Z" w:initials="A">
    <w:p>
      <w:r>
        <w:rPr>
          <w:rFonts w:ascii="Liberation Serif" w:hAnsi="Liberation Serif" w:eastAsia="Segoe UI"/>
          <w:b/>
          <w:bCs/>
          <w:i/>
          <w:iCs/>
          <w:lang w:val="en-US" w:eastAsia="en-US" w:bidi="en-US"/>
        </w:rPr>
        <w:t xml:space="preserve">Nota Explicativa: </w:t>
      </w:r>
      <w:r>
        <w:rPr>
          <w:rFonts w:ascii="Liberation Serif" w:hAnsi="Liberation Serif" w:eastAsia="Segoe UI"/>
          <w:lang w:val="en-US" w:eastAsia="en-US" w:bidi="en-US"/>
        </w:rPr>
        <w:t>A INSTRUÇÃO NORMATIVA Nº 53, DE 8 DE JULHO DE 2020 apresenta algumas limitações quanto ao valor da operação de crédito:</w:t>
      </w:r>
    </w:p>
    <w:p>
      <w:r>
        <w:rPr>
          <w:rFonts w:ascii="Liberation Serif" w:hAnsi="Liberation Serif" w:eastAsia="Segoe UI"/>
          <w:lang w:val="en-US" w:eastAsia="en-US" w:bidi="en-US"/>
        </w:rPr>
        <w:t>Anexo I:</w:t>
      </w:r>
    </w:p>
    <w:p>
      <w:r>
        <w:rPr>
          <w:rFonts w:ascii="Liberation Serif" w:hAnsi="Liberation Serif" w:eastAsia="Segoe UI"/>
          <w:lang w:val="en-US" w:eastAsia="en-US" w:bidi="en-US"/>
        </w:rPr>
        <w:t xml:space="preserve">"1.2. O </w:t>
      </w:r>
      <w:r>
        <w:rPr>
          <w:rFonts w:ascii="Liberation Serif" w:hAnsi="Liberation Serif" w:eastAsia="Segoe UI"/>
          <w:b/>
          <w:bCs/>
          <w:lang w:val="en-US" w:eastAsia="en-US" w:bidi="en-US"/>
        </w:rPr>
        <w:t>valor da operação de crédito não poderá exceder a setenta por cento do saldo</w:t>
      </w:r>
      <w:r>
        <w:rPr>
          <w:rFonts w:ascii="Liberation Serif" w:hAnsi="Liberation Serif" w:eastAsia="Segoe UI"/>
          <w:lang w:val="en-US" w:eastAsia="en-US" w:bidi="en-US"/>
        </w:rPr>
        <w:t xml:space="preserve"> a receber atualizado do(s) contrato(s) selecionado(s) pelas instituições financeiras.</w:t>
      </w:r>
    </w:p>
    <w:p>
      <w:r>
        <w:rPr>
          <w:rFonts w:ascii="Liberation Serif" w:hAnsi="Liberation Serif" w:eastAsia="Segoe UI"/>
          <w:lang w:val="en-US" w:eastAsia="en-US" w:bidi="en-US"/>
        </w:rPr>
        <w:t>(...)</w:t>
      </w:r>
    </w:p>
    <w:p>
      <w:r>
        <w:rPr>
          <w:rFonts w:ascii="Liberation Serif" w:hAnsi="Liberation Serif" w:eastAsia="Segoe UI"/>
          <w:lang w:val="en-US" w:eastAsia="en-US" w:bidi="en-US"/>
        </w:rPr>
        <w:t xml:space="preserve">a) </w:t>
      </w:r>
      <w:r>
        <w:rPr>
          <w:rFonts w:ascii="Liberation Serif" w:hAnsi="Liberation Serif" w:eastAsia="Segoe UI"/>
          <w:b/>
          <w:bCs/>
          <w:lang w:val="en-US" w:eastAsia="en-US" w:bidi="en-US"/>
        </w:rPr>
        <w:t xml:space="preserve">o valor máximo da nova operação </w:t>
      </w:r>
      <w:r>
        <w:rPr>
          <w:rFonts w:ascii="Liberation Serif" w:hAnsi="Liberation Serif" w:eastAsia="Segoe UI"/>
          <w:lang w:val="en-US" w:eastAsia="en-US" w:bidi="en-US"/>
        </w:rPr>
        <w:t>de crédito corresponderá a setenta por cento da diferença entre o saldo atualizado dos créditos do contrato e o saldo devedor atualizado da operação anterior;"</w:t>
      </w:r>
    </w:p>
  </w:comment>
  <w:comment w:id="30" w:author="Autor" w:date="0-00-00T00:00:00Z" w:initials="A">
    <w:p>
      <w:r>
        <w:rPr>
          <w:rFonts w:ascii="Liberation Serif" w:hAnsi="Liberation Serif" w:eastAsia="Segoe UI"/>
          <w:b/>
          <w:bCs/>
          <w:i/>
          <w:iCs/>
          <w:color w:val="000000"/>
          <w:lang w:val="en-US" w:eastAsia="en-US" w:bidi="en-US"/>
        </w:rPr>
        <w:t>Nota Explicativa:</w:t>
      </w:r>
      <w:r>
        <w:rPr>
          <w:rFonts w:ascii="Liberation Serif" w:hAnsi="Liberation Serif" w:eastAsia="Segoe UI"/>
          <w:i/>
          <w:iCs/>
          <w:color w:val="000000"/>
          <w:lang w:val="en-US" w:eastAsia="en-US" w:bidi="en-US"/>
        </w:rPr>
        <w:t xml:space="preserve"> Os condicionamentos dos subitens 7.34 e 7.35 decorrem das conclusões do Parecer JL-01, de 18 de maio de 2020.</w:t>
      </w:r>
    </w:p>
  </w:comment>
  <w:comment w:id="32" w:author="Autor" w:date="0-00-00T00:00:00Z" w:initials="A">
    <w:p>
      <w:r>
        <w:rPr>
          <w:rFonts w:ascii="Liberation Serif" w:hAnsi="Liberation Serif" w:eastAsia="Segoe UI"/>
          <w:b/>
          <w:bCs/>
          <w:i/>
          <w:iCs/>
          <w:color w:val="000000"/>
          <w:lang w:val="en-US" w:eastAsia="en-US" w:bidi="en-US"/>
        </w:rPr>
        <w:t>Nota Explicativa:</w:t>
      </w:r>
      <w:r>
        <w:rPr>
          <w:rFonts w:ascii="Liberation Serif" w:hAnsi="Liberation Serif" w:eastAsia="Segoe UI"/>
          <w:i/>
          <w:iCs/>
          <w:color w:val="000000"/>
          <w:lang w:val="en-US" w:eastAsia="en-US" w:bidi="en-US"/>
        </w:rPr>
        <w:t xml:space="preserve"> É fundamental que a Administração observe que exigências demasiadas poderão prejudicar a competitividade e ofender a o disposto no </w:t>
      </w:r>
      <w:hyperlink r:id="rId30">
        <w:r>
          <w:rPr>
            <w:rFonts w:ascii="Liberation Serif" w:hAnsi="Liberation Serif" w:eastAsia="Segoe UI"/>
            <w:i/>
            <w:iCs/>
            <w:color w:val="000000"/>
            <w:lang w:val="en-US" w:eastAsia="en-US" w:bidi="en-US"/>
          </w:rPr>
          <w:t>art. 37, inciso XXI da Constituição Federal</w:t>
        </w:r>
      </w:hyperlink>
      <w:r>
        <w:rPr>
          <w:rFonts w:ascii="Liberation Serif" w:hAnsi="Liberation Serif" w:eastAsia="Segoe UI"/>
          <w:i/>
          <w:iCs/>
          <w:color w:val="000000"/>
          <w:lang w:val="en-US" w:eastAsia="en-US" w:bidi="en-US"/>
        </w:rPr>
        <w:t>, o qual preceitua que “o processo de licitação pública... somente permitirá as exigências de qualificação técnica e econômica indispensáveis à garantia do cumprimento das obrigações”.</w:t>
      </w:r>
    </w:p>
    <w:p>
      <w:r>
        <w:rPr>
          <w:rFonts w:ascii="Liberation Serif" w:hAnsi="Liberation Serif" w:eastAsia="Segoe UI"/>
          <w:i/>
          <w:iCs/>
          <w:color w:val="000000"/>
          <w:lang w:val="en-US" w:eastAsia="en-US" w:bidi="en-US"/>
        </w:rPr>
        <w:t>O</w:t>
      </w:r>
      <w:hyperlink r:id="rId31">
        <w:r>
          <w:rPr>
            <w:rFonts w:ascii="Liberation Serif" w:hAnsi="Liberation Serif" w:eastAsia="Segoe UI"/>
            <w:i/>
            <w:iCs/>
            <w:color w:val="000000"/>
            <w:lang w:val="en-US" w:eastAsia="en-US" w:bidi="en-US"/>
          </w:rPr>
          <w:t xml:space="preserve"> art. 70, III, da Lei Nº 14.133/2021</w:t>
        </w:r>
      </w:hyperlink>
      <w:r>
        <w:rPr>
          <w:rFonts w:ascii="Liberation Serif" w:hAnsi="Liberation Serif" w:eastAsia="Segoe UI"/>
          <w:i/>
          <w:iCs/>
          <w:color w:val="000000"/>
          <w:lang w:val="en-US" w:eastAsia="en-US" w:bidi="en-US"/>
        </w:rPr>
        <w:t>, por sua vez, dispõe que as exigências de habilitação poderão ser dispensadas, “total ou parcialmente, nas contratações para entrega imediata, nas contratações em valores inferiores a 1/4 (um quarto) do limite para dispensa de licitação para compras em geral e nas contratações de produto para pesquisa e desenvolvimento até o valor de R$ 300.000,00 (trezentos mil reais).” (Referidos valores são atualizados anualmente por Decreto, conforme art. 182 da mesma Lei).</w:t>
      </w:r>
    </w:p>
    <w:p>
      <w:r>
        <w:rPr>
          <w:rFonts w:ascii="Liberation Serif" w:hAnsi="Liberation Serif" w:eastAsia="Segoe UI"/>
          <w:i/>
          <w:iCs/>
          <w:color w:val="000000"/>
          <w:lang w:val="en-US" w:eastAsia="en-US" w:bidi="en-US"/>
        </w:rPr>
        <w:t xml:space="preserve">A combinação da disposição constitucional com a disposição legal resulta que as exigências de qualificação técnica e econômica nas situações retratadas no art. 70, III, deve ser excepcional e justificada. Nas demais situações, em razão da diretriz constitucional, a Administração deve observar, diante do caso concreto, se o objeto da contratação demanda a exigência de todos os requisitos de habilitação apresentados neste modelo, levando-se em consideração o vulto e/ou a complexidade do objeto, a essencialidade do serviço e os riscos decorrentes de sua paralisação em função da eventual incapacidade econômica da contratada em suportar vicissitudes contratuais, excluindo-se o que entender excessivo. </w:t>
      </w:r>
    </w:p>
    <w:p>
      <w:r>
        <w:rPr>
          <w:rFonts w:ascii="Liberation Serif" w:hAnsi="Liberation Serif" w:eastAsia="Segoe UI"/>
          <w:i/>
          <w:iCs/>
          <w:color w:val="000000"/>
          <w:lang w:val="en-US" w:eastAsia="en-US" w:bidi="en-US"/>
        </w:rPr>
        <w:t xml:space="preserve">Em </w:t>
      </w:r>
      <w:r>
        <w:rPr>
          <w:rFonts w:ascii="Liberation Serif" w:hAnsi="Liberation Serif" w:eastAsia="Segoe UI"/>
          <w:lang w:val="en-US" w:eastAsia="en-US" w:bidi="en-US"/>
        </w:rPr>
        <w:t>dispensas eletrônicas</w:t>
      </w:r>
      <w:r>
        <w:rPr>
          <w:rFonts w:ascii="Liberation Serif" w:hAnsi="Liberation Serif" w:eastAsia="Segoe UI"/>
          <w:i/>
          <w:iCs/>
          <w:color w:val="000000"/>
          <w:lang w:val="en-US" w:eastAsia="en-US" w:bidi="en-US"/>
        </w:rPr>
        <w:t xml:space="preserve"> dividida em itens, as exigências de habilitação podem adequar-se a essa divisibilidade, sendo possível, em um mesmo instrumento, a exigência de requisitos de habilitação mais amplos somente para alguns itens. Para se fazer isso, basta acrescentar uma ressalva ao final na exigência pertinente, tal como “(exigência relativa somente aos itens X, Y, Z)”.</w:t>
      </w:r>
    </w:p>
    <w:p>
      <w:r>
        <w:rPr>
          <w:rFonts w:ascii="Liberation Serif" w:hAnsi="Liberation Serif" w:eastAsia="Segoe UI"/>
          <w:i/>
          <w:iCs/>
          <w:color w:val="000000"/>
          <w:lang w:val="en-US" w:eastAsia="en-US" w:bidi="en-US"/>
        </w:rPr>
        <w:t>É vedada a inclusão de requisitos que não tenham suporte nos arts. 66 a 69 da Lei nº 14.133, de 2021.</w:t>
      </w:r>
    </w:p>
  </w:comment>
  <w:comment w:id="33" w:author="Autor" w:date="0-00-00T00:00:00Z" w:initials="A">
    <w:p>
      <w:r>
        <w:rPr>
          <w:rFonts w:ascii="Liberation Serif" w:hAnsi="Liberation Serif" w:eastAsia="Segoe UI"/>
          <w:b/>
          <w:bCs/>
          <w:lang w:val="en-US" w:eastAsia="en-US" w:bidi="en-US"/>
        </w:rPr>
        <w:t>Nota explicativa:</w:t>
      </w:r>
      <w:r>
        <w:rPr>
          <w:rFonts w:ascii="Liberation Serif" w:hAnsi="Liberation Serif" w:eastAsia="Segoe UI"/>
          <w:lang w:val="en-US" w:eastAsia="en-US" w:bidi="en-US"/>
        </w:rPr>
        <w:t xml:space="preserve"> A recomendação aos cadastros acima se dá à luz do art. 91, §4º da Lei nº 14.133/21 e se dá sem prejuízo da possibilidade, a juízo do órgão respectivo, de consulta complementar a outros cadastros governamentais análogos, tais como o do TCU (lista de inidôneos ou consulta consolidada).</w:t>
      </w:r>
    </w:p>
    <w:p>
      <w:r>
        <w:rPr>
          <w:rFonts w:ascii="Liberation Serif" w:hAnsi="Liberation Serif" w:eastAsia="Segoe UI"/>
          <w:lang w:val="en-US" w:eastAsia="en-US" w:bidi="en-US"/>
        </w:rPr>
      </w:r>
    </w:p>
  </w:comment>
  <w:comment w:id="34" w:author="Autor" w:date="0-00-00T00:00:00Z" w:initials="A">
    <w:p>
      <w:r>
        <w:rPr>
          <w:rFonts w:ascii="Liberation Serif" w:hAnsi="Liberation Serif" w:eastAsia="Segoe UI"/>
          <w:b/>
          <w:bCs/>
          <w:lang w:val="en-US" w:eastAsia="en-US" w:bidi="en-US"/>
        </w:rPr>
        <w:t>Nota Explicativa:</w:t>
      </w:r>
      <w:r>
        <w:rPr>
          <w:rFonts w:ascii="Liberation Serif" w:hAnsi="Liberation Serif" w:eastAsia="Segoe UI"/>
          <w:lang w:val="en-US" w:eastAsia="en-US" w:bidi="en-US"/>
        </w:rPr>
        <w:t xml:space="preserve"> Os requisitos de habilitação jurídica deverão ser exigidos em conformidade com a natureza da futura contratada (empresário individual, sociedade empresária, cooperativa etc.), razão pela qual deverá ser adotada, a depender do caso, apenas a redação correspondente, dentre aquelas constantes a seguir: </w:t>
      </w:r>
    </w:p>
    <w:p>
      <w:r>
        <w:rPr>
          <w:rFonts w:ascii="Liberation Serif" w:hAnsi="Liberation Serif" w:eastAsia="Segoe UI"/>
          <w:lang w:val="en-US" w:eastAsia="en-US" w:bidi="en-US"/>
        </w:rPr>
      </w:r>
    </w:p>
  </w:comment>
  <w:comment w:id="35" w:author="Autor" w:date="0-00-00T00:00:00Z" w:initials="A">
    <w:p>
      <w:r>
        <w:rPr>
          <w:rFonts w:ascii="Liberation Serif" w:hAnsi="Liberation Serif" w:eastAsia="Segoe UI"/>
          <w:b/>
          <w:bCs/>
          <w:i/>
          <w:iCs/>
          <w:color w:val="000000"/>
          <w:lang w:val="en-US" w:eastAsia="en-US" w:bidi="en-US"/>
        </w:rPr>
        <w:t>Nota Explicativa:</w:t>
      </w:r>
      <w:r>
        <w:rPr>
          <w:rFonts w:ascii="Liberation Serif" w:hAnsi="Liberation Serif" w:eastAsia="Segoe UI"/>
          <w:i/>
          <w:iCs/>
          <w:color w:val="000000"/>
          <w:lang w:val="en-US" w:eastAsia="en-US" w:bidi="en-US"/>
        </w:rPr>
        <w:t xml:space="preserve"> A Instrução Normativa </w:t>
      </w:r>
      <w:hyperlink r:id="rId32">
        <w:r>
          <w:rPr>
            <w:rFonts w:ascii="Liberation Serif" w:hAnsi="Liberation Serif" w:eastAsia="Segoe UI"/>
            <w:i/>
            <w:iCs/>
            <w:color w:val="000000"/>
            <w:lang w:val="en-US" w:eastAsia="en-US" w:bidi="en-US"/>
          </w:rPr>
          <w:t>SEGES/ME nº 116, de 21 de dezembro de 2021</w:t>
        </w:r>
      </w:hyperlink>
      <w:r>
        <w:rPr>
          <w:rFonts w:ascii="Liberation Serif" w:hAnsi="Liberation Serif" w:eastAsia="Segoe UI"/>
          <w:i/>
          <w:iCs/>
          <w:color w:val="000000"/>
          <w:lang w:val="en-US" w:eastAsia="en-US" w:bidi="en-US"/>
        </w:rPr>
        <w:t xml:space="preserve">, estabelece procedimentos para a participação de pessoa física nas contratações públicas regidas pela </w:t>
      </w:r>
      <w:hyperlink r:id="rId33">
        <w:r>
          <w:rPr>
            <w:rFonts w:ascii="Liberation Serif" w:hAnsi="Liberation Serif" w:eastAsia="Segoe UI"/>
            <w:i/>
            <w:iCs/>
            <w:color w:val="000000"/>
            <w:lang w:val="en-US" w:eastAsia="en-US" w:bidi="en-US"/>
          </w:rPr>
          <w:t>Lei nº 14.133, de 2021</w:t>
        </w:r>
      </w:hyperlink>
      <w:r>
        <w:rPr>
          <w:rFonts w:ascii="Liberation Serif" w:hAnsi="Liberation Serif" w:eastAsia="Segoe UI"/>
          <w:i/>
          <w:iCs/>
          <w:color w:val="000000"/>
          <w:lang w:val="en-US" w:eastAsia="en-US" w:bidi="en-US"/>
        </w:rPr>
        <w:t>, no âmbito da Administração Pública federal direta, autárquica e fundacional. Em seu art. 2º, a norma considera pessoa física “ todo o trabalhador autônomo, sem qualquer vínculo de subordinação para fins de execução do objeto da contratação pública, incluindo os profissionais liberais não enquadrados como sociedade empresária ou empresário individual, nos termos das legislações específicas, que participa ou manifesta a intenção de participar de processo de contratação pública, sendo equiparado a fornecedor ou ao prestador de serviço que, em atendimento à solicitação da Administração, oferece proposta”.</w:t>
      </w:r>
    </w:p>
    <w:p>
      <w:r>
        <w:rPr>
          <w:rFonts w:ascii="Liberation Serif" w:hAnsi="Liberation Serif" w:eastAsia="Segoe UI"/>
          <w:i/>
          <w:iCs/>
          <w:color w:val="000000"/>
          <w:lang w:val="en-US" w:eastAsia="en-US" w:bidi="en-US"/>
        </w:rPr>
        <w:t xml:space="preserve">A </w:t>
      </w:r>
      <w:hyperlink r:id="rId34">
        <w:r>
          <w:rPr>
            <w:rFonts w:ascii="Liberation Serif" w:hAnsi="Liberation Serif" w:eastAsia="Segoe UI"/>
            <w:i/>
            <w:iCs/>
            <w:color w:val="000000"/>
            <w:lang w:val="en-US" w:eastAsia="en-US" w:bidi="en-US"/>
          </w:rPr>
          <w:t>IN SEGES/ME nº 116, de 2021</w:t>
        </w:r>
      </w:hyperlink>
      <w:r>
        <w:rPr>
          <w:rFonts w:ascii="Liberation Serif" w:hAnsi="Liberation Serif" w:eastAsia="Segoe UI"/>
          <w:i/>
          <w:iCs/>
          <w:color w:val="000000"/>
          <w:lang w:val="en-US" w:eastAsia="en-US" w:bidi="en-US"/>
        </w:rPr>
        <w:t xml:space="preserve">, determina, em seu art. 4º, caput, que os editais ou os avisos de contratação direta possibilitem a contratação das pessoas físicas, em observância aos objetivos da isonomia e da justa competição. Ainda de acordo com o parágrafo único desse mesmo dispositivo, será ressalvada a participação de pessoas físicas nas licitações ou contratações diretas, “quando a contratação exigir </w:t>
      </w:r>
      <w:r>
        <w:rPr>
          <w:rFonts w:ascii="Liberation Serif" w:hAnsi="Liberation Serif" w:eastAsia="Segoe UI"/>
          <w:b/>
          <w:bCs/>
          <w:i/>
          <w:iCs/>
          <w:color w:val="000000"/>
          <w:lang w:val="en-US" w:eastAsia="en-US" w:bidi="en-US"/>
        </w:rPr>
        <w:t>capital social mínimo</w:t>
      </w:r>
      <w:r>
        <w:rPr>
          <w:rFonts w:ascii="Liberation Serif" w:hAnsi="Liberation Serif" w:eastAsia="Segoe UI"/>
          <w:i/>
          <w:iCs/>
          <w:color w:val="000000"/>
          <w:lang w:val="en-US" w:eastAsia="en-US" w:bidi="en-US"/>
        </w:rPr>
        <w:t xml:space="preserve"> e </w:t>
      </w:r>
      <w:r>
        <w:rPr>
          <w:rFonts w:ascii="Liberation Serif" w:hAnsi="Liberation Serif" w:eastAsia="Segoe UI"/>
          <w:b/>
          <w:bCs/>
          <w:i/>
          <w:iCs/>
          <w:color w:val="000000"/>
          <w:lang w:val="en-US" w:eastAsia="en-US" w:bidi="en-US"/>
        </w:rPr>
        <w:t>estrutura mínima</w:t>
      </w:r>
      <w:r>
        <w:rPr>
          <w:rFonts w:ascii="Liberation Serif" w:hAnsi="Liberation Serif" w:eastAsia="Segoe UI"/>
          <w:i/>
          <w:iCs/>
          <w:color w:val="000000"/>
          <w:lang w:val="en-US" w:eastAsia="en-US" w:bidi="en-US"/>
        </w:rPr>
        <w:t xml:space="preserve">, com equipamentos, instalações e equipe de profissionais ou corpo técnico para a execução do objeto </w:t>
      </w:r>
      <w:r>
        <w:rPr>
          <w:rFonts w:ascii="Liberation Serif" w:hAnsi="Liberation Serif" w:eastAsia="Segoe UI"/>
          <w:b/>
          <w:bCs/>
          <w:i/>
          <w:iCs/>
          <w:color w:val="000000"/>
          <w:lang w:val="en-US" w:eastAsia="en-US" w:bidi="en-US"/>
        </w:rPr>
        <w:t>incompatíveis com a natureza profissional da pessoa física</w:t>
      </w:r>
      <w:r>
        <w:rPr>
          <w:rFonts w:ascii="Liberation Serif" w:hAnsi="Liberation Serif" w:eastAsia="Segoe UI"/>
          <w:i/>
          <w:iCs/>
          <w:color w:val="000000"/>
          <w:lang w:val="en-US" w:eastAsia="en-US" w:bidi="en-US"/>
        </w:rPr>
        <w:t xml:space="preserve">, conforme </w:t>
      </w:r>
      <w:r>
        <w:rPr>
          <w:rFonts w:ascii="Liberation Serif" w:hAnsi="Liberation Serif" w:eastAsia="Segoe UI"/>
          <w:b/>
          <w:bCs/>
          <w:i/>
          <w:iCs/>
          <w:color w:val="000000"/>
          <w:lang w:val="en-US" w:eastAsia="en-US" w:bidi="en-US"/>
        </w:rPr>
        <w:t>demonstrado em estudo técnico preliminar</w:t>
      </w:r>
      <w:r>
        <w:rPr>
          <w:rFonts w:ascii="Liberation Serif" w:hAnsi="Liberation Serif" w:eastAsia="Segoe UI"/>
          <w:i/>
          <w:iCs/>
          <w:color w:val="000000"/>
          <w:lang w:val="en-US" w:eastAsia="en-US" w:bidi="en-US"/>
        </w:rPr>
        <w:t xml:space="preserve">”. Portanto, a possibilidade, ou não, de contratação de pessoas físicas deverá ser objeto de prévia análise e manifestação técnica por parte do órgão contratante, na fase de planejamento da contratação. </w:t>
      </w:r>
    </w:p>
    <w:p>
      <w:r>
        <w:rPr>
          <w:rFonts w:ascii="Liberation Serif" w:hAnsi="Liberation Serif" w:eastAsia="Segoe UI"/>
          <w:i/>
          <w:iCs/>
          <w:color w:val="000000"/>
          <w:lang w:val="en-US" w:eastAsia="en-US" w:bidi="en-US"/>
        </w:rPr>
        <w:t xml:space="preserve">O </w:t>
      </w:r>
      <w:hyperlink r:id="rId35">
        <w:r>
          <w:rPr>
            <w:rFonts w:ascii="Liberation Serif" w:hAnsi="Liberation Serif" w:eastAsia="Segoe UI"/>
            <w:i/>
            <w:iCs/>
            <w:color w:val="000000"/>
            <w:lang w:val="en-US" w:eastAsia="en-US" w:bidi="en-US"/>
          </w:rPr>
          <w:t>Decreto n.º 10.977, de 23 de fevereiro de 2022,</w:t>
        </w:r>
      </w:hyperlink>
      <w:r>
        <w:rPr>
          <w:rFonts w:ascii="Liberation Serif" w:hAnsi="Liberation Serif" w:eastAsia="Segoe UI"/>
          <w:i/>
          <w:iCs/>
          <w:color w:val="000000"/>
          <w:lang w:val="en-US" w:eastAsia="en-US" w:bidi="en-US"/>
        </w:rPr>
        <w:t xml:space="preserve"> que regulamenta a Lei nº 7.116, de 29 de agosto de 1983, e a Lei nº 9.454, de 7 de abril de 1997, estabelece, em seu art. 3º, que a Carteira de Identidade passa a adotar o número de inscrição no Cadastro de Pessoas Físicas - CPF como o número do registro geral nacional previsto no inciso IV do </w:t>
      </w:r>
      <w:r>
        <w:rPr>
          <w:rFonts w:ascii="Liberation Serif" w:hAnsi="Liberation Serif" w:eastAsia="Segoe UI"/>
          <w:b/>
          <w:bCs/>
          <w:i/>
          <w:iCs/>
          <w:color w:val="000000"/>
          <w:lang w:val="en-US" w:eastAsia="en-US" w:bidi="en-US"/>
        </w:rPr>
        <w:t>caput </w:t>
      </w:r>
      <w:r>
        <w:rPr>
          <w:rFonts w:ascii="Liberation Serif" w:hAnsi="Liberation Serif" w:eastAsia="Segoe UI"/>
          <w:i/>
          <w:iCs/>
          <w:color w:val="000000"/>
          <w:lang w:val="en-US" w:eastAsia="en-US" w:bidi="en-US"/>
        </w:rPr>
        <w:t>do seu art. 11.</w:t>
      </w:r>
    </w:p>
  </w:comment>
  <w:comment w:id="36" w:author="Autor" w:date="0-00-00T00:00:00Z" w:initials="A">
    <w:p>
      <w:r>
        <w:rPr>
          <w:rFonts w:ascii="Liberation Serif" w:hAnsi="Liberation Serif" w:eastAsia="Segoe UI"/>
          <w:b/>
          <w:bCs/>
          <w:i/>
          <w:iCs/>
          <w:color w:val="000000"/>
          <w:lang w:val="en-US" w:eastAsia="en-US" w:bidi="en-US"/>
        </w:rPr>
        <w:t>Nota Explicativa</w:t>
      </w:r>
      <w:r>
        <w:rPr>
          <w:rFonts w:ascii="Liberation Serif" w:hAnsi="Liberation Serif" w:eastAsia="Segoe UI"/>
          <w:i/>
          <w:iCs/>
          <w:color w:val="000000"/>
          <w:lang w:val="en-US" w:eastAsia="en-US" w:bidi="en-US"/>
        </w:rPr>
        <w:t xml:space="preserve">: O </w:t>
      </w:r>
      <w:hyperlink r:id="rId36">
        <w:r>
          <w:rPr>
            <w:rFonts w:ascii="Liberation Serif" w:hAnsi="Liberation Serif" w:eastAsia="Segoe UI"/>
            <w:i/>
            <w:iCs/>
            <w:color w:val="000000"/>
            <w:lang w:val="en-US" w:eastAsia="en-US" w:bidi="en-US"/>
          </w:rPr>
          <w:t>art. 41 da Lei nº 14.195, de 26 de agosto de 2021</w:t>
        </w:r>
      </w:hyperlink>
      <w:r>
        <w:rPr>
          <w:rFonts w:ascii="Liberation Serif" w:hAnsi="Liberation Serif" w:eastAsia="Segoe UI"/>
          <w:i/>
          <w:iCs/>
          <w:color w:val="000000"/>
          <w:lang w:val="en-US" w:eastAsia="en-US" w:bidi="en-US"/>
        </w:rPr>
        <w:t>, transformou todas as empresas individuais de responsabilidade limitada (EIRELI) existentes na data da entrada em vigor da Lei em sociedades limitadas unipessoais (SLU), independentemente de qualquer alteração em seus respectivos atos constitutivos.</w:t>
      </w:r>
    </w:p>
    <w:p>
      <w:r>
        <w:rPr>
          <w:rFonts w:ascii="Liberation Serif" w:hAnsi="Liberation Serif" w:eastAsia="Segoe UI"/>
          <w:i/>
          <w:iCs/>
          <w:color w:val="000000"/>
          <w:lang w:val="en-US" w:eastAsia="en-US" w:bidi="en-US"/>
        </w:rPr>
        <w:t xml:space="preserve">Posteriormente, </w:t>
      </w:r>
      <w:hyperlink r:id="rId37">
        <w:r>
          <w:rPr>
            <w:rFonts w:ascii="Liberation Serif" w:hAnsi="Liberation Serif" w:eastAsia="Segoe UI"/>
            <w:i/>
            <w:iCs/>
            <w:color w:val="000000"/>
            <w:lang w:val="en-US" w:eastAsia="en-US" w:bidi="en-US"/>
          </w:rPr>
          <w:t>o inciso VI, alíneas “a” e “b”, art. 20, da Lei nº 14.382, de 27 de junho de 2022</w:t>
        </w:r>
      </w:hyperlink>
      <w:r>
        <w:rPr>
          <w:rFonts w:ascii="Liberation Serif" w:hAnsi="Liberation Serif" w:eastAsia="Segoe UI"/>
          <w:i/>
          <w:iCs/>
          <w:color w:val="000000"/>
          <w:lang w:val="en-US" w:eastAsia="en-US" w:bidi="en-US"/>
        </w:rPr>
        <w:t>, revogou as disposições sobre EIRELI constantes do inciso VI do caput do art. 44 e do Título I-A do Livro II da Parte Especial do Código Civil (</w:t>
      </w:r>
      <w:hyperlink r:id="rId38">
        <w:r>
          <w:rPr>
            <w:rFonts w:ascii="Liberation Serif" w:hAnsi="Liberation Serif" w:eastAsia="Segoe UI"/>
            <w:i/>
            <w:iCs/>
            <w:color w:val="000000"/>
            <w:lang w:val="en-US" w:eastAsia="en-US" w:bidi="en-US"/>
          </w:rPr>
          <w:t>Lei nº 10.406, de 10 de janeiro de 2002</w:t>
        </w:r>
      </w:hyperlink>
      <w:r>
        <w:rPr>
          <w:rFonts w:ascii="Liberation Serif" w:hAnsi="Liberation Serif" w:eastAsia="Segoe UI"/>
          <w:i/>
          <w:iCs/>
          <w:color w:val="000000"/>
          <w:lang w:val="en-US" w:eastAsia="en-US" w:bidi="en-US"/>
        </w:rPr>
        <w:t>).</w:t>
      </w:r>
    </w:p>
    <w:p>
      <w:r>
        <w:rPr>
          <w:rFonts w:ascii="Liberation Serif" w:hAnsi="Liberation Serif" w:eastAsia="Segoe UI"/>
          <w:i/>
          <w:iCs/>
          <w:color w:val="000000"/>
          <w:lang w:val="en-US" w:eastAsia="en-US" w:bidi="en-US"/>
        </w:rPr>
        <w:t>Diante dessa situação, orientamos os agentes de contratação da seguinte forma: se a empresa for identificada como EIRELI em seus atos constitutivos, ela deverá ser considerada como convertida em SLU, automaticamente, durante o processo de contratação. Os atos constitutivos, inclusive, deverão ser considerados regulares como EIRELI, mas a empresa deverá se comportar na contratação como uma SLU.</w:t>
      </w:r>
    </w:p>
  </w:comment>
  <w:comment w:id="37" w:author="Autor" w:date="0-00-00T00:00:00Z" w:initials="A">
    <w:p>
      <w:r>
        <w:rPr>
          <w:rFonts w:ascii="Liberation Serif" w:hAnsi="Liberation Serif" w:eastAsia="Segoe UI"/>
          <w:b/>
          <w:bCs/>
          <w:i/>
          <w:iCs/>
          <w:color w:val="000000"/>
          <w:lang w:val="en-US" w:eastAsia="en-US" w:bidi="en-US"/>
        </w:rPr>
        <w:t>Nota Explicativa:</w:t>
      </w:r>
      <w:r>
        <w:rPr>
          <w:rFonts w:ascii="Liberation Serif" w:hAnsi="Liberation Serif" w:eastAsia="Segoe UI"/>
          <w:i/>
          <w:iCs/>
          <w:color w:val="000000"/>
          <w:lang w:val="en-US" w:eastAsia="en-US" w:bidi="en-US"/>
        </w:rPr>
        <w:t xml:space="preserve"> O artigo 193 do Código Tributário Nacional (</w:t>
      </w:r>
      <w:hyperlink r:id="rId39">
        <w:r>
          <w:rPr>
            <w:rFonts w:ascii="Liberation Serif" w:hAnsi="Liberation Serif" w:eastAsia="Segoe UI"/>
            <w:i/>
            <w:iCs/>
            <w:color w:val="000000"/>
            <w:lang w:val="en-US" w:eastAsia="en-US" w:bidi="en-US"/>
          </w:rPr>
          <w:t>Lei nº 5.172, de 25 de outubro de 1966</w:t>
        </w:r>
      </w:hyperlink>
      <w:r>
        <w:rPr>
          <w:rFonts w:ascii="Liberation Serif" w:hAnsi="Liberation Serif" w:eastAsia="Segoe UI"/>
          <w:i/>
          <w:iCs/>
          <w:color w:val="000000"/>
          <w:lang w:val="en-US" w:eastAsia="en-US" w:bidi="en-US"/>
        </w:rPr>
        <w:t xml:space="preserve">) preceitua que a prova da quitação de todos os tributos devidos dar-se-á no âmbito da Fazenda Pública interessada, “relativos à atividade em cujo exercício contrata ou concorre”. Nessa mesma linha, </w:t>
      </w:r>
      <w:hyperlink r:id="rId40">
        <w:r>
          <w:rPr>
            <w:rFonts w:ascii="Liberation Serif" w:hAnsi="Liberation Serif" w:eastAsia="Segoe UI"/>
            <w:i/>
            <w:iCs/>
            <w:color w:val="000000"/>
            <w:lang w:val="en-US" w:eastAsia="en-US" w:bidi="en-US"/>
          </w:rPr>
          <w:t>o art. 68, inciso II, da Lei n.º 14.133, de 2021</w:t>
        </w:r>
      </w:hyperlink>
      <w:r>
        <w:rPr>
          <w:rFonts w:ascii="Liberation Serif" w:hAnsi="Liberation Serif" w:eastAsia="Segoe UI"/>
          <w:i/>
          <w:iCs/>
          <w:color w:val="000000"/>
          <w:lang w:val="en-US" w:eastAsia="en-US" w:bidi="en-US"/>
        </w:rPr>
        <w:t>, estabelece a exigência de “inscrição no cadastro de contribuintes estadual e/ou municipal, se houver, relativo ao domicílio ou sede do licitante, pertinente ao seu ramo de atividade e compatível com o objeto contratual”. Dessa forma, a prova de inscrição no cadastro de contribuintes estadual ou municipal e a prova de regularidade fiscal correspondente deve levar em conta a natureza da atividade objeto da contratação e o âmbito da tributação sobre ele incidente:  tratando-se de serviços em geral, incide o ISS, tributo de competência municipal, ao passo que, para aquisições incide o ICMS, tributo de competência estadual. Cabe ao órgão contratante aferir o imposto aplicável e ajustar conforme o caso.</w:t>
      </w:r>
    </w:p>
  </w:comment>
  <w:comment w:id="38" w:author="Autor" w:date="0-00-00T00:00:00Z" w:initials="A">
    <w:p>
      <w:r>
        <w:rPr>
          <w:rFonts w:ascii="Liberation Serif" w:hAnsi="Liberation Serif" w:eastAsia="Segoe UI"/>
          <w:b/>
          <w:bCs/>
          <w:i/>
          <w:iCs/>
          <w:color w:val="000000"/>
          <w:lang w:val="en-US" w:eastAsia="en-US" w:bidi="en-US"/>
        </w:rPr>
        <w:t>Nota Explicativa:</w:t>
      </w:r>
      <w:r>
        <w:rPr>
          <w:rFonts w:ascii="Liberation Serif" w:hAnsi="Liberation Serif" w:eastAsia="Segoe UI"/>
          <w:i/>
          <w:iCs/>
          <w:color w:val="000000"/>
          <w:lang w:val="en-US" w:eastAsia="en-US" w:bidi="en-US"/>
        </w:rPr>
        <w:t xml:space="preserve"> A apresentação do Certificado de Condição de Microempreendedor Individual – CCMEI supre as exigências de inscrição nos cadastros fiscais, na medida em que essas informações constam no próprio Certificado.</w:t>
      </w:r>
    </w:p>
  </w:comment>
  <w:comment w:id="39" w:author="Autor" w:date="0-00-00T00:00:00Z" w:initials="A">
    <w:p>
      <w:r>
        <w:rPr>
          <w:rFonts w:ascii="Liberation Serif" w:hAnsi="Liberation Serif" w:eastAsia="Segoe UI"/>
          <w:b/>
          <w:bCs/>
          <w:i/>
          <w:iCs/>
          <w:color w:val="000000"/>
          <w:lang w:val="en-US" w:eastAsia="en-US" w:bidi="en-US"/>
        </w:rPr>
        <w:t>Nota Explicativa 1:</w:t>
      </w:r>
      <w:r>
        <w:rPr>
          <w:rFonts w:ascii="Liberation Serif" w:hAnsi="Liberation Serif" w:eastAsia="Segoe UI"/>
          <w:i/>
          <w:iCs/>
          <w:color w:val="000000"/>
          <w:lang w:val="en-US" w:eastAsia="en-US" w:bidi="en-US"/>
        </w:rPr>
        <w:t xml:space="preserve"> </w:t>
      </w:r>
      <w:r>
        <w:rPr>
          <w:rFonts w:ascii="Liberation Serif" w:hAnsi="Liberation Serif" w:eastAsia="Segoe UI"/>
          <w:lang w:val="en-US" w:eastAsia="en-US" w:bidi="en-US"/>
        </w:rPr>
        <w:t>Em se tratando de contratação direta não precedida de dispensa eletrônica, os aspectos da habilitação da empresa, sobretudo os ligados à qualificação técnica e econômica, podem estar discriminados no processo administrativo, ao se motivar a escolha do fornecedor, caso em que não precisam constar do Termo de Referência.</w:t>
      </w:r>
    </w:p>
    <w:p>
      <w:r>
        <w:rPr>
          <w:rFonts w:ascii="Liberation Serif" w:hAnsi="Liberation Serif" w:eastAsia="Segoe UI"/>
          <w:b/>
          <w:bCs/>
          <w:i/>
          <w:iCs/>
          <w:color w:val="000000"/>
          <w:lang w:val="en-US" w:eastAsia="en-US" w:bidi="en-US"/>
        </w:rPr>
        <w:t xml:space="preserve">Nota Explicativa 2: </w:t>
      </w:r>
      <w:r>
        <w:rPr>
          <w:rFonts w:ascii="Liberation Serif" w:hAnsi="Liberation Serif" w:eastAsia="Segoe UI"/>
          <w:i/>
          <w:iCs/>
          <w:color w:val="000000"/>
          <w:lang w:val="en-US" w:eastAsia="en-US" w:bidi="en-US"/>
        </w:rPr>
        <w:t xml:space="preserve">A Administração deve examinar, diante do caso concreto, se o objeto da contratação demanda a exigência de todos os requisitos de habilitação apresentados neste modelo, levando-se em consideração o vulto e/ou a complexidade e a essencialidade do objeto, bem como os riscos decorrentes de sua paralisação em função da eventual incapacidade econômica da contratada em suportar os deveres contratuais, excluindo-se o que entender excessivo. Nesse sentido, a exigência pode restringir-se a alguns itens, como, por exemplo, somente aos itens não exclusivos a microempresa e empresas de pequeno porte, ou mesmo não ser exigida para nenhum deles, caso em que deve ser suprimida do </w:t>
      </w:r>
      <w:r>
        <w:rPr>
          <w:rFonts w:ascii="Liberation Serif" w:hAnsi="Liberation Serif" w:eastAsia="Segoe UI"/>
          <w:lang w:val="en-US" w:eastAsia="en-US" w:bidi="en-US"/>
        </w:rPr>
        <w:t>documento</w:t>
      </w:r>
      <w:r>
        <w:rPr>
          <w:rFonts w:ascii="Liberation Serif" w:hAnsi="Liberation Serif" w:eastAsia="Segoe UI"/>
          <w:i/>
          <w:iCs/>
          <w:color w:val="000000"/>
          <w:lang w:val="en-US" w:eastAsia="en-US" w:bidi="en-US"/>
        </w:rPr>
        <w:t xml:space="preserve">. Conforme Nota Explicativa do início deste tópico, a exigência de qualificação técnica e econômica nas circunstâncias previstas no art. 70, III da </w:t>
      </w:r>
      <w:hyperlink r:id="rId41">
        <w:r>
          <w:rPr>
            <w:rFonts w:ascii="Liberation Serif" w:hAnsi="Liberation Serif" w:eastAsia="Segoe UI"/>
            <w:i/>
            <w:iCs/>
            <w:color w:val="000000"/>
            <w:lang w:val="en-US" w:eastAsia="en-US" w:bidi="en-US"/>
          </w:rPr>
          <w:t>Lei n.º 14.133, de 2021</w:t>
        </w:r>
      </w:hyperlink>
      <w:r>
        <w:rPr>
          <w:rFonts w:ascii="Liberation Serif" w:hAnsi="Liberation Serif" w:eastAsia="Segoe UI"/>
          <w:i/>
          <w:iCs/>
          <w:color w:val="000000"/>
          <w:lang w:val="en-US" w:eastAsia="en-US" w:bidi="en-US"/>
        </w:rPr>
        <w:t xml:space="preserve">, deve ser excepcional e justificada, à luz do </w:t>
      </w:r>
      <w:hyperlink r:id="rId42">
        <w:r>
          <w:rPr>
            <w:rFonts w:ascii="Liberation Serif" w:hAnsi="Liberation Serif" w:eastAsia="Segoe UI"/>
            <w:i/>
            <w:iCs/>
            <w:color w:val="000000"/>
            <w:lang w:val="en-US" w:eastAsia="en-US" w:bidi="en-US"/>
          </w:rPr>
          <w:t>art. 37, XXI, da Constituição Federal</w:t>
        </w:r>
      </w:hyperlink>
      <w:r>
        <w:rPr>
          <w:rFonts w:ascii="Liberation Serif" w:hAnsi="Liberation Serif" w:eastAsia="Segoe UI"/>
          <w:i/>
          <w:iCs/>
          <w:color w:val="000000"/>
          <w:lang w:val="en-US" w:eastAsia="en-US" w:bidi="en-US"/>
        </w:rPr>
        <w:t>.</w:t>
      </w:r>
    </w:p>
    <w:p>
      <w:r>
        <w:rPr>
          <w:rFonts w:ascii="Liberation Serif" w:hAnsi="Liberation Serif" w:eastAsia="Segoe UI"/>
          <w:b/>
          <w:bCs/>
          <w:i/>
          <w:iCs/>
          <w:color w:val="000000"/>
          <w:lang w:val="en-US" w:eastAsia="en-US" w:bidi="en-US"/>
        </w:rPr>
        <w:t>Nota Explicativa 3:</w:t>
      </w:r>
      <w:r>
        <w:rPr>
          <w:rFonts w:ascii="Liberation Serif" w:hAnsi="Liberation Serif" w:eastAsia="Segoe UI"/>
          <w:i/>
          <w:iCs/>
          <w:color w:val="000000"/>
          <w:lang w:val="en-US" w:eastAsia="en-US" w:bidi="en-US"/>
        </w:rPr>
        <w:t xml:space="preserve"> É possível adotar critérios de habilitação econômico-financeira com requisitos diferenciados, estabelecidos conforme as peculiaridades do objeto a ser </w:t>
      </w:r>
      <w:r>
        <w:rPr>
          <w:rFonts w:ascii="Liberation Serif" w:hAnsi="Liberation Serif" w:eastAsia="Segoe UI"/>
          <w:lang w:val="en-US" w:eastAsia="en-US" w:bidi="en-US"/>
        </w:rPr>
        <w:t>contratada</w:t>
      </w:r>
      <w:r>
        <w:rPr>
          <w:rFonts w:ascii="Liberation Serif" w:hAnsi="Liberation Serif" w:eastAsia="Segoe UI"/>
          <w:i/>
          <w:iCs/>
          <w:color w:val="000000"/>
          <w:lang w:val="en-US" w:eastAsia="en-US" w:bidi="en-US"/>
        </w:rPr>
        <w:t xml:space="preserve">, com justificativa do percentual adotado nos autos do </w:t>
      </w:r>
      <w:r>
        <w:rPr>
          <w:rFonts w:ascii="Liberation Serif" w:hAnsi="Liberation Serif" w:eastAsia="Segoe UI"/>
          <w:lang w:val="en-US" w:eastAsia="en-US" w:bidi="en-US"/>
        </w:rPr>
        <w:t>processo</w:t>
      </w:r>
      <w:r>
        <w:rPr>
          <w:rFonts w:ascii="Liberation Serif" w:hAnsi="Liberation Serif" w:eastAsia="Segoe UI"/>
          <w:i/>
          <w:iCs/>
          <w:color w:val="000000"/>
          <w:lang w:val="en-US" w:eastAsia="en-US" w:bidi="en-US"/>
        </w:rPr>
        <w:t>.</w:t>
      </w:r>
    </w:p>
  </w:comment>
  <w:comment w:id="40" w:author="Autor" w:date="0-00-00T00:00:00Z" w:initials="A">
    <w:p>
      <w:r>
        <w:rPr>
          <w:rFonts w:ascii="Liberation Serif" w:hAnsi="Liberation Serif" w:eastAsia="Segoe UI"/>
          <w:lang w:val="en-US" w:eastAsia="en-US" w:bidi="en-US"/>
        </w:rPr>
        <w:t>Nota Explicativa: Conforme o §4º do art. 16 da Instrução Normativa SEGES/MP nº 3, de 2018</w:t>
      </w:r>
    </w:p>
  </w:comment>
  <w:comment w:id="41" w:author="Autor" w:date="0-00-00T00:00:00Z" w:initials="A">
    <w:p>
      <w:r>
        <w:rPr>
          <w:rFonts w:ascii="Liberation Serif" w:hAnsi="Liberation Serif" w:eastAsia="Segoe UI"/>
          <w:b/>
          <w:bCs/>
          <w:i/>
          <w:iCs/>
          <w:color w:val="000000"/>
          <w:lang w:val="en-US" w:eastAsia="en-US" w:bidi="en-US"/>
        </w:rPr>
        <w:t>Nota Explicativa 1:</w:t>
      </w:r>
      <w:r>
        <w:rPr>
          <w:rFonts w:ascii="Liberation Serif" w:hAnsi="Liberation Serif" w:eastAsia="Segoe UI"/>
          <w:i/>
          <w:iCs/>
          <w:color w:val="000000"/>
          <w:lang w:val="en-US" w:eastAsia="en-US" w:bidi="en-US"/>
        </w:rPr>
        <w:t xml:space="preserve"> Não podem ser cumulativas as exigências de capital mínimo e de patrimônio líquido mínimo, razão pela qual a Administração deverá escolher motivadamente entre uma das duas opções.</w:t>
      </w:r>
    </w:p>
    <w:p>
      <w:r>
        <w:rPr>
          <w:rFonts w:ascii="Liberation Serif" w:hAnsi="Liberation Serif" w:eastAsia="Segoe UI"/>
          <w:b/>
          <w:bCs/>
          <w:i/>
          <w:iCs/>
          <w:color w:val="000000"/>
          <w:lang w:val="en-US" w:eastAsia="en-US" w:bidi="en-US"/>
        </w:rPr>
        <w:t>Nota Explicativa 2:</w:t>
      </w:r>
      <w:r>
        <w:rPr>
          <w:rFonts w:ascii="Liberation Serif" w:hAnsi="Liberation Serif" w:eastAsia="Segoe UI"/>
          <w:i/>
          <w:iCs/>
          <w:color w:val="000000"/>
          <w:lang w:val="en-US" w:eastAsia="en-US" w:bidi="en-US"/>
        </w:rPr>
        <w:t xml:space="preserve"> A fixação do percentual se insere na esfera de atuação discricionária da Administração até o limite legal de 10% (dez por cento) do valor estimado da contratação e deve ser proporcional aos riscos que a inexecução total ou parcial do contrato poderá acarretar para a Administração, considerando-se, entre outros fatores, o valor do contrato, a essencialidade do objeto, o tempo de duração do contrato. </w:t>
      </w:r>
    </w:p>
    <w:p>
      <w:r>
        <w:rPr>
          <w:rFonts w:ascii="Liberation Serif" w:hAnsi="Liberation Serif" w:eastAsia="Segoe UI"/>
          <w:i/>
          <w:iCs/>
          <w:color w:val="000000"/>
          <w:lang w:val="en-US" w:eastAsia="en-US" w:bidi="en-US"/>
        </w:rPr>
        <w:t>A sondagem do mercado se afigura importante, a fim de obter dados sobre o porte das empresas que atuam na área objeto da contratação. Ressalte-se que, se o referido percentual for fixado em seu mais alto patamar e o valor total estimado da contratação também for significativo, trará como consequência a necessidade de comprovação de patrimônio líquido elevado, o que poderá resultar na restrição à participação de interessados no certame, em especial, de microempresas ou empresas de pequeno porte, podendo ferir o princípio constitucional de incentivo a essas unidades empresariais. Por essa razão, é indispensável avaliação técnica sobre o assunto.</w:t>
      </w:r>
    </w:p>
  </w:comment>
  <w:comment w:id="42" w:author="Autor" w:date="0-00-00T00:00:00Z" w:initials="A">
    <w:p>
      <w:r>
        <w:rPr>
          <w:rFonts w:ascii="Liberation Serif" w:hAnsi="Liberation Serif" w:eastAsia="Segoe UI"/>
          <w:b/>
          <w:bCs/>
          <w:i/>
          <w:iCs/>
          <w:color w:val="000000"/>
          <w:lang w:val="en-US" w:eastAsia="en-US" w:bidi="en-US"/>
        </w:rPr>
        <w:t>Nota Explicativa:</w:t>
      </w:r>
      <w:r>
        <w:rPr>
          <w:rFonts w:ascii="Liberation Serif" w:hAnsi="Liberation Serif" w:eastAsia="Segoe UI"/>
          <w:i/>
          <w:iCs/>
          <w:color w:val="000000"/>
          <w:lang w:val="en-US" w:eastAsia="en-US" w:bidi="en-US"/>
        </w:rPr>
        <w:t xml:space="preserve"> A previsão do subitem 8.29 decorre do disposto no </w:t>
      </w:r>
      <w:hyperlink r:id="rId43">
        <w:r>
          <w:rPr>
            <w:rFonts w:ascii="Liberation Serif" w:hAnsi="Liberation Serif" w:eastAsia="Segoe UI"/>
            <w:i/>
            <w:iCs/>
            <w:color w:val="000000"/>
            <w:lang w:val="en-US" w:eastAsia="en-US" w:bidi="en-US"/>
          </w:rPr>
          <w:t>art. 69, §1º da Lei nº 14.133, de 2021</w:t>
        </w:r>
      </w:hyperlink>
      <w:r>
        <w:rPr>
          <w:rFonts w:ascii="Liberation Serif" w:hAnsi="Liberation Serif" w:eastAsia="Segoe UI"/>
          <w:i/>
          <w:iCs/>
          <w:color w:val="000000"/>
          <w:lang w:val="en-US" w:eastAsia="en-US" w:bidi="en-US"/>
        </w:rPr>
        <w:t>, podendo a Administração optar por tal disposição, desde que justificadamente.</w:t>
      </w:r>
    </w:p>
  </w:comment>
  <w:comment w:id="43" w:author="Autor" w:date="0-00-00T00:00:00Z" w:initials="A">
    <w:p>
      <w:r>
        <w:rPr>
          <w:rFonts w:ascii="Liberation Serif" w:hAnsi="Liberation Serif" w:eastAsia="Segoe UI"/>
          <w:b/>
          <w:bCs/>
          <w:i/>
          <w:iCs/>
          <w:color w:val="000000"/>
          <w:lang w:val="en-US" w:eastAsia="en-US" w:bidi="en-US"/>
        </w:rPr>
        <w:t>Nota Explicativa 1</w:t>
      </w:r>
      <w:r>
        <w:rPr>
          <w:rFonts w:ascii="Liberation Serif" w:hAnsi="Liberation Serif" w:eastAsia="Segoe UI"/>
          <w:i/>
          <w:iCs/>
          <w:color w:val="000000"/>
          <w:lang w:val="en-US" w:eastAsia="en-US" w:bidi="en-US"/>
        </w:rPr>
        <w:t xml:space="preserve">: </w:t>
      </w:r>
      <w:r>
        <w:rPr>
          <w:rFonts w:ascii="Liberation Serif" w:hAnsi="Liberation Serif" w:eastAsia="Segoe UI"/>
          <w:lang w:val="en-US" w:eastAsia="en-US" w:bidi="en-US"/>
        </w:rPr>
        <w:t>Em se tratando de contratação direta não precedida de dispensa eletrônica, os critérios de habilitação, notadamente os de qualificação econômica e técnica, podem estar apontados no processo, na motivação para a escolha do fornecedor, caso em que poderão ser suprimidos do TR.</w:t>
      </w:r>
      <w:r>
        <w:rPr>
          <w:rFonts w:ascii="Liberation Serif" w:hAnsi="Liberation Serif" w:eastAsia="Segoe UI"/>
          <w:i/>
          <w:iCs/>
          <w:color w:val="000000"/>
          <w:lang w:val="en-US" w:eastAsia="en-US" w:bidi="en-US"/>
        </w:rPr>
        <w:t xml:space="preserve"> </w:t>
      </w:r>
    </w:p>
    <w:p>
      <w:r>
        <w:rPr>
          <w:rFonts w:ascii="Liberation Serif" w:hAnsi="Liberation Serif" w:eastAsia="Segoe UI"/>
          <w:b/>
          <w:bCs/>
          <w:i/>
          <w:iCs/>
          <w:color w:val="000000"/>
          <w:lang w:val="en-US" w:eastAsia="en-US" w:bidi="en-US"/>
        </w:rPr>
        <w:t>Nota Explicativa 2:</w:t>
      </w:r>
      <w:r>
        <w:rPr>
          <w:rFonts w:ascii="Liberation Serif" w:hAnsi="Liberation Serif" w:eastAsia="Segoe UI"/>
          <w:i/>
          <w:iCs/>
          <w:color w:val="000000"/>
          <w:lang w:val="en-US" w:eastAsia="en-US" w:bidi="en-US"/>
        </w:rPr>
        <w:t xml:space="preserve"> O </w:t>
      </w:r>
      <w:hyperlink r:id="rId44">
        <w:r>
          <w:rPr>
            <w:rFonts w:ascii="Liberation Serif" w:hAnsi="Liberation Serif" w:eastAsia="Segoe UI"/>
            <w:i/>
            <w:iCs/>
            <w:color w:val="000000"/>
            <w:lang w:val="en-US" w:eastAsia="en-US" w:bidi="en-US"/>
          </w:rPr>
          <w:t>art. 67 da Lei nº 14.133, de 2021</w:t>
        </w:r>
      </w:hyperlink>
      <w:r>
        <w:rPr>
          <w:rFonts w:ascii="Liberation Serif" w:hAnsi="Liberation Serif" w:eastAsia="Segoe UI"/>
          <w:i/>
          <w:iCs/>
          <w:color w:val="000000"/>
          <w:lang w:val="en-US" w:eastAsia="en-US" w:bidi="en-US"/>
        </w:rPr>
        <w:t xml:space="preserve">, não estabelece exigências de qualificação técnico-operacional ou técnico-profissional para o caso de contratações cujo objeto seja a aquisição de bens, tratando o dispositivo legal apenas das exigências pertinentes às obras e serviços. Nada obstante, entende-se ser juridicamente possível que a Administração formule exigências de qualificação técnica dos fornecedores no caso de compras de bens, com fundamento no </w:t>
      </w:r>
      <w:hyperlink r:id="rId45">
        <w:r>
          <w:rPr>
            <w:rFonts w:ascii="Liberation Serif" w:hAnsi="Liberation Serif" w:eastAsia="Segoe UI"/>
            <w:i/>
            <w:iCs/>
            <w:color w:val="000000"/>
            <w:lang w:val="en-US" w:eastAsia="en-US" w:bidi="en-US"/>
          </w:rPr>
          <w:t>artigo 37, inciso XXI, da Constituição Federal</w:t>
        </w:r>
      </w:hyperlink>
      <w:r>
        <w:rPr>
          <w:rFonts w:ascii="Liberation Serif" w:hAnsi="Liberation Serif" w:eastAsia="Segoe UI"/>
          <w:i/>
          <w:iCs/>
          <w:color w:val="000000"/>
          <w:lang w:val="en-US" w:eastAsia="en-US" w:bidi="en-US"/>
        </w:rPr>
        <w:t xml:space="preserve">, caso verifique que a medida é indispensável à garantia do cumprimento das obrigações pertinentes à execução do objeto. </w:t>
      </w:r>
    </w:p>
    <w:p>
      <w:r>
        <w:rPr>
          <w:rFonts w:ascii="Liberation Serif" w:hAnsi="Liberation Serif" w:eastAsia="Segoe UI"/>
          <w:i/>
          <w:iCs/>
          <w:color w:val="000000"/>
          <w:lang w:val="en-US" w:eastAsia="en-US" w:bidi="en-US"/>
        </w:rPr>
        <w:t xml:space="preserve">Para tanto, recomenda-se que a Administração se utilize da interpretação extensiva das regras, limites e princípios que incidem em relação à prova de qualificação técnica dos </w:t>
      </w:r>
      <w:r>
        <w:rPr>
          <w:rFonts w:ascii="Liberation Serif" w:hAnsi="Liberation Serif" w:eastAsia="Segoe UI"/>
          <w:lang w:val="en-US" w:eastAsia="en-US" w:bidi="en-US"/>
        </w:rPr>
        <w:t>interessados</w:t>
      </w:r>
      <w:r>
        <w:rPr>
          <w:rFonts w:ascii="Liberation Serif" w:hAnsi="Liberation Serif" w:eastAsia="Segoe UI"/>
          <w:i/>
          <w:iCs/>
          <w:color w:val="000000"/>
          <w:lang w:val="en-US" w:eastAsia="en-US" w:bidi="en-US"/>
        </w:rPr>
        <w:t xml:space="preserve"> na contratação de serviços, observadas as peculiaridades das compras em cada caso concreto.</w:t>
      </w:r>
    </w:p>
    <w:p>
      <w:r>
        <w:rPr>
          <w:rFonts w:ascii="Liberation Serif" w:hAnsi="Liberation Serif" w:eastAsia="Segoe UI"/>
          <w:b/>
          <w:bCs/>
          <w:i/>
          <w:iCs/>
          <w:lang w:val="en-US" w:eastAsia="en-US" w:bidi="en-US"/>
        </w:rPr>
        <w:t xml:space="preserve">Nota Explicativa 3: </w:t>
      </w:r>
      <w:r>
        <w:rPr>
          <w:rFonts w:ascii="Liberation Serif" w:hAnsi="Liberation Serif" w:eastAsia="Segoe UI"/>
          <w:i/>
          <w:iCs/>
          <w:color w:val="000000"/>
          <w:lang w:val="en-US" w:eastAsia="en-US" w:bidi="en-US"/>
        </w:rPr>
        <w:t>Além de avaliar a pertinência de exigir qualificação técnica, o rigor das exigências também deve ser avaliado, promovendo-se adaptações pela área demandante ante o tipo de contratação que se pretende fazer. A redação ora apresentada visa a dispor sobre as possibilidades gerais trazidas pela lei, mas a área competente do órgão contratante deverá, NECESSARIAMENTE, ajustar TODAS as cláusulas aqui presentes à realidade de sua demanda específica, com base em justificativa do ETP.</w:t>
      </w:r>
    </w:p>
    <w:p>
      <w:r>
        <w:rPr>
          <w:rFonts w:ascii="Liberation Serif" w:hAnsi="Liberation Serif" w:eastAsia="Segoe UI"/>
          <w:b/>
          <w:bCs/>
          <w:i/>
          <w:iCs/>
          <w:color w:val="000000"/>
          <w:lang w:val="en-US" w:eastAsia="en-US" w:bidi="en-US"/>
        </w:rPr>
        <w:t>Nota Explicativa 4</w:t>
      </w:r>
      <w:r>
        <w:rPr>
          <w:rFonts w:ascii="Liberation Serif" w:hAnsi="Liberation Serif" w:eastAsia="Segoe UI"/>
          <w:i/>
          <w:iCs/>
          <w:color w:val="000000"/>
          <w:lang w:val="en-US" w:eastAsia="en-US" w:bidi="en-US"/>
        </w:rPr>
        <w:t xml:space="preserve">: Em relação pessoa física ou jurídica que se caracterize como “potencial subcontratado”, é possível a previsão de exigência de atestados específicos, situação na qual mais de um </w:t>
      </w:r>
      <w:r>
        <w:rPr>
          <w:rFonts w:ascii="Liberation Serif" w:hAnsi="Liberation Serif" w:eastAsia="Segoe UI"/>
          <w:lang w:val="en-US" w:eastAsia="en-US" w:bidi="en-US"/>
        </w:rPr>
        <w:t>interessado</w:t>
      </w:r>
      <w:r>
        <w:rPr>
          <w:rFonts w:ascii="Liberation Serif" w:hAnsi="Liberation Serif" w:eastAsia="Segoe UI"/>
          <w:i/>
          <w:iCs/>
          <w:color w:val="000000"/>
          <w:lang w:val="en-US" w:eastAsia="en-US" w:bidi="en-US"/>
        </w:rPr>
        <w:t xml:space="preserve"> poderá apresentar atestado relativo ao mesmo potencial subcontratado. Nesse sentido é o teor do § 9º do art. 67 da Lei nº 14.133, de 2021:</w:t>
      </w:r>
    </w:p>
    <w:p>
      <w:r>
        <w:rPr>
          <w:rFonts w:ascii="Liberation Serif" w:hAnsi="Liberation Serif" w:eastAsia="Segoe UI"/>
          <w:i/>
          <w:iCs/>
          <w:color w:val="000000"/>
          <w:lang w:val="en-US" w:eastAsia="en-US" w:bidi="en-US"/>
        </w:rPr>
        <w:t>“O edital poderá prever, para aspectos técnicos específicos, que a qualificação técnica seja demonstrada por meio de atestados relativos a potencial subcontratado, limitado a 25% (vinte e cinco por cento) do objeto a ser licitado, hipótese em que mais de um licitante poderá apresentar atestado relativo ao mesmo potencial subcontratado.”</w:t>
      </w:r>
    </w:p>
  </w:comment>
  <w:comment w:id="44" w:author="Autor" w:date="0-00-00T00:00:00Z" w:initials="A">
    <w:p>
      <w:r>
        <w:rPr>
          <w:rFonts w:ascii="Liberation Serif" w:hAnsi="Liberation Serif" w:eastAsia="Segoe UI"/>
          <w:b/>
          <w:bCs/>
          <w:i/>
          <w:iCs/>
          <w:color w:val="000000"/>
          <w:lang w:val="en-US" w:eastAsia="en-US" w:bidi="en-US"/>
        </w:rPr>
        <w:t>Nota explicativa:</w:t>
      </w:r>
      <w:r>
        <w:rPr>
          <w:rFonts w:ascii="Liberation Serif" w:hAnsi="Liberation Serif" w:eastAsia="Segoe UI"/>
          <w:i/>
          <w:iCs/>
          <w:color w:val="000000"/>
          <w:lang w:val="en-US" w:eastAsia="en-US" w:bidi="en-US"/>
        </w:rPr>
        <w:t xml:space="preserve"> A exigência do só deve ser formulada quando, por determinação legal, o exercício de determinada atividade afeta ao objeto contratual esteja sujeita à fiscalização da entidade profissional competente, a ser indicada expressamente no dispositivo. </w:t>
      </w:r>
    </w:p>
    <w:p>
      <w:r>
        <w:rPr>
          <w:rFonts w:ascii="Liberation Serif" w:hAnsi="Liberation Serif" w:eastAsia="Segoe UI"/>
          <w:i/>
          <w:iCs/>
          <w:color w:val="000000"/>
          <w:lang w:val="en-US" w:eastAsia="en-US" w:bidi="en-US"/>
        </w:rPr>
        <w:t>Quando não existir determinação legal atrelando o exercício de determinada atividade ao correspondente conselho de fiscalização profissional, a exigência de registro ou inscrição, para fim de habilitação, torna-se inaplicável. Nessas situações, o referido subitem deve ser excluído.</w:t>
      </w:r>
    </w:p>
  </w:comment>
  <w:comment w:id="45" w:author="Autor" w:date="0-00-00T00:00:00Z" w:initials="A">
    <w:p>
      <w:r>
        <w:rPr>
          <w:rFonts w:ascii="Liberation Serif" w:hAnsi="Liberation Serif" w:eastAsia="Segoe UI"/>
          <w:b/>
          <w:bCs/>
          <w:i/>
          <w:iCs/>
          <w:color w:val="000000"/>
          <w:lang w:val="en-US" w:eastAsia="en-US" w:bidi="en-US"/>
        </w:rPr>
        <w:t>Nota Explicativa 1:</w:t>
      </w:r>
      <w:r>
        <w:rPr>
          <w:rFonts w:ascii="Liberation Serif" w:hAnsi="Liberation Serif" w:eastAsia="Segoe UI"/>
          <w:i/>
          <w:iCs/>
          <w:color w:val="000000"/>
          <w:lang w:val="en-US" w:eastAsia="en-US" w:bidi="en-US"/>
        </w:rPr>
        <w:t xml:space="preserve"> A essência da capacidade operacional é procurar identificar se a futura contratada tem a infraestrutura empresarial e a capacidade de gestão de executar o objeto e, justamente por esse contexto, podem ser feitas exigências de comprovação de anterior execução de quantitativos mínimos (compatíveis com o objeto a ser contratado). Deste modo, é possível que essa comprovação se dê pela somatória de atestados de contratos executados realizados concomitantemente, pois da mesma forma revelam a capacidade operacional da empresa.</w:t>
      </w:r>
    </w:p>
    <w:p>
      <w:r>
        <w:rPr>
          <w:rFonts w:ascii="Liberation Serif" w:hAnsi="Liberation Serif" w:eastAsia="Segoe UI"/>
          <w:i/>
          <w:iCs/>
          <w:color w:val="000000"/>
          <w:lang w:val="en-US" w:eastAsia="en-US" w:bidi="en-US"/>
        </w:rPr>
        <w:t xml:space="preserve">De qualquer forma, é absolutamente fundamental que a exigência seja totalmente objetiva, indicando quantitativos precisos, para evitar dúvidas na hora da habilitação, que podem vir a comprometer o objetivo do processo, de formalizar a contratação. </w:t>
      </w:r>
    </w:p>
    <w:p>
      <w:r>
        <w:rPr>
          <w:rFonts w:ascii="Liberation Serif" w:hAnsi="Liberation Serif" w:eastAsia="Segoe UI"/>
          <w:i/>
          <w:iCs/>
          <w:color w:val="000000"/>
          <w:lang w:val="en-US" w:eastAsia="en-US" w:bidi="en-US"/>
        </w:rPr>
        <w:t xml:space="preserve">Conforme </w:t>
      </w:r>
      <w:hyperlink r:id="rId46">
        <w:r>
          <w:rPr>
            <w:rFonts w:ascii="Liberation Serif" w:hAnsi="Liberation Serif" w:eastAsia="Segoe UI"/>
            <w:i/>
            <w:iCs/>
            <w:color w:val="000000"/>
            <w:lang w:val="en-US" w:eastAsia="en-US" w:bidi="en-US"/>
          </w:rPr>
          <w:t>§2º do art. 67 da Lei nº 14.133, de 2021</w:t>
        </w:r>
      </w:hyperlink>
      <w:r>
        <w:rPr>
          <w:rFonts w:ascii="Liberation Serif" w:hAnsi="Liberation Serif" w:eastAsia="Segoe UI"/>
          <w:i/>
          <w:iCs/>
          <w:color w:val="000000"/>
          <w:lang w:val="en-US" w:eastAsia="en-US" w:bidi="en-US"/>
        </w:rPr>
        <w:t xml:space="preserve">, “será admitida a exigência de atestados com quantidades mínimas de até 50% (cinquenta por cento) das parcelas de que trata o referido parágrafo, vedadas limitações de tempo e de locais específicos relativas aos atestados”. Além disso, registre-se que só é possível a exigência de atestado quanto às parcelas de maior relevância, entendidas essas como as que possuem valor individual igual ou superior a 4% do valor total estimado da contratação (art. 67, §1º). </w:t>
      </w:r>
    </w:p>
    <w:p>
      <w:r>
        <w:rPr>
          <w:rFonts w:ascii="Liberation Serif" w:hAnsi="Liberation Serif" w:eastAsia="Segoe UI"/>
          <w:b/>
          <w:bCs/>
          <w:i/>
          <w:iCs/>
          <w:color w:val="000000"/>
          <w:lang w:val="en-US" w:eastAsia="en-US" w:bidi="en-US"/>
        </w:rPr>
        <w:t xml:space="preserve">Nota Explicativa 2: </w:t>
      </w:r>
      <w:r>
        <w:rPr>
          <w:rFonts w:ascii="Liberation Serif" w:hAnsi="Liberation Serif" w:eastAsia="Segoe UI"/>
          <w:i/>
          <w:iCs/>
          <w:color w:val="000000"/>
          <w:lang w:val="en-US" w:eastAsia="en-US" w:bidi="en-US"/>
        </w:rPr>
        <w:t xml:space="preserve">Os requisitos de qualificação técnica são aplicáveis a todos os </w:t>
      </w:r>
      <w:r>
        <w:rPr>
          <w:rFonts w:ascii="Liberation Serif" w:hAnsi="Liberation Serif" w:eastAsia="Segoe UI"/>
          <w:lang w:val="en-US" w:eastAsia="en-US" w:bidi="en-US"/>
        </w:rPr>
        <w:t>interessados</w:t>
      </w:r>
      <w:r>
        <w:rPr>
          <w:rFonts w:ascii="Liberation Serif" w:hAnsi="Liberation Serif" w:eastAsia="Segoe UI"/>
          <w:i/>
          <w:iCs/>
          <w:color w:val="000000"/>
          <w:lang w:val="en-US" w:eastAsia="en-US" w:bidi="en-US"/>
        </w:rPr>
        <w:t xml:space="preserve">, inclusive pessoas físicas, conforme inciso I do </w:t>
      </w:r>
      <w:hyperlink r:id="rId47">
        <w:r>
          <w:rPr>
            <w:rFonts w:ascii="Liberation Serif" w:hAnsi="Liberation Serif" w:eastAsia="Segoe UI"/>
            <w:i/>
            <w:iCs/>
            <w:color w:val="000000"/>
            <w:lang w:val="en-US" w:eastAsia="en-US" w:bidi="en-US"/>
          </w:rPr>
          <w:t>art. 5º da Instrução Normativa Seges/ME nº 116, de 2021</w:t>
        </w:r>
      </w:hyperlink>
      <w:r>
        <w:rPr>
          <w:rFonts w:ascii="Liberation Serif" w:hAnsi="Liberation Serif" w:eastAsia="Segoe UI"/>
          <w:i/>
          <w:iCs/>
          <w:color w:val="000000"/>
          <w:lang w:val="en-US" w:eastAsia="en-US" w:bidi="en-US"/>
        </w:rPr>
        <w:t>.</w:t>
      </w:r>
    </w:p>
    <w:p>
      <w:r>
        <w:rPr>
          <w:rFonts w:ascii="Liberation Serif" w:hAnsi="Liberation Serif" w:eastAsia="Segoe UI"/>
          <w:b/>
          <w:bCs/>
          <w:i/>
          <w:iCs/>
          <w:color w:val="000000"/>
          <w:lang w:val="en-US" w:eastAsia="en-US" w:bidi="en-US"/>
        </w:rPr>
        <w:t xml:space="preserve">Nota Explicativa 3: </w:t>
      </w:r>
      <w:r>
        <w:rPr>
          <w:rFonts w:ascii="Liberation Serif" w:hAnsi="Liberation Serif" w:eastAsia="Segoe UI"/>
          <w:i/>
          <w:iCs/>
          <w:color w:val="000000"/>
          <w:lang w:val="en-US" w:eastAsia="en-US" w:bidi="en-US"/>
        </w:rPr>
        <w:t xml:space="preserve">Caso seja permitida a subcontratação de fornecimento com aspectos técnicos específicos, poderá ser admitida a apresentação de atestados relativos a potencial subcontratado, limitado a 25% do objeto, conforme </w:t>
      </w:r>
      <w:hyperlink r:id="rId48">
        <w:r>
          <w:rPr>
            <w:rFonts w:ascii="Liberation Serif" w:hAnsi="Liberation Serif" w:eastAsia="Segoe UI"/>
            <w:i/>
            <w:iCs/>
            <w:color w:val="000000"/>
            <w:lang w:val="en-US" w:eastAsia="en-US" w:bidi="en-US"/>
          </w:rPr>
          <w:t>art. 67, §9º da Lei nº 14.133, de 2021.</w:t>
        </w:r>
      </w:hyperlink>
    </w:p>
    <w:p>
      <w:r>
        <w:rPr>
          <w:rFonts w:ascii="Liberation Serif" w:hAnsi="Liberation Serif" w:eastAsia="Segoe UI"/>
          <w:b/>
          <w:bCs/>
          <w:i/>
          <w:iCs/>
          <w:color w:val="000000"/>
          <w:lang w:val="en-US" w:eastAsia="en-US" w:bidi="en-US"/>
        </w:rPr>
        <w:t xml:space="preserve">Em sendo esse o caso do processo, recomenda-se inserir a seguinte disposição: </w:t>
      </w:r>
    </w:p>
    <w:p>
      <w:r>
        <w:rPr>
          <w:rFonts w:ascii="Liberation Serif" w:hAnsi="Liberation Serif" w:eastAsia="Segoe UI"/>
          <w:b/>
          <w:bCs/>
          <w:i/>
          <w:iCs/>
          <w:color w:val="000000"/>
          <w:lang w:val="en-US" w:eastAsia="en-US" w:bidi="en-US"/>
        </w:rPr>
        <w:t>8.31.x: Será admitida a apresentação de atestados relativos a potencial subcontratado em relação à parcela do fornecimento de.... ..., cuja subcontratação foi expressamente autorizada no tópico pertinente.</w:t>
      </w:r>
    </w:p>
  </w:comment>
  <w:comment w:id="46" w:author="Autor" w:date="0-00-00T00:00:00Z" w:initials="A">
    <w:p>
      <w:r>
        <w:rPr>
          <w:rFonts w:ascii="Liberation Serif" w:hAnsi="Liberation Serif" w:eastAsia="Segoe UI"/>
          <w:b/>
          <w:bCs/>
          <w:i/>
          <w:iCs/>
          <w:color w:val="000000"/>
          <w:lang w:val="en-US" w:eastAsia="en-US" w:bidi="en-US"/>
        </w:rPr>
        <w:t>Nota Explicativa:</w:t>
      </w:r>
      <w:r>
        <w:rPr>
          <w:rFonts w:ascii="Liberation Serif" w:hAnsi="Liberation Serif" w:eastAsia="Segoe UI"/>
          <w:i/>
          <w:iCs/>
          <w:color w:val="000000"/>
          <w:lang w:val="en-US" w:eastAsia="en-US" w:bidi="en-US"/>
        </w:rPr>
        <w:t xml:space="preserve"> Nesse sentido, o </w:t>
      </w:r>
      <w:hyperlink r:id="rId49">
        <w:r>
          <w:rPr>
            <w:rFonts w:ascii="Liberation Serif" w:hAnsi="Liberation Serif" w:eastAsia="Segoe UI"/>
            <w:i/>
            <w:iCs/>
            <w:color w:val="000000"/>
            <w:lang w:val="en-US" w:eastAsia="en-US" w:bidi="en-US"/>
          </w:rPr>
          <w:t>Parecer n. 00005/2021/CNMLC/CGU/AGU</w:t>
        </w:r>
      </w:hyperlink>
      <w:r>
        <w:rPr>
          <w:rFonts w:ascii="Liberation Serif" w:hAnsi="Liberation Serif" w:eastAsia="Segoe UI"/>
          <w:i/>
          <w:iCs/>
          <w:color w:val="000000"/>
          <w:lang w:val="en-US" w:eastAsia="en-US" w:bidi="en-US"/>
        </w:rPr>
        <w:t xml:space="preserve"> fixou que “se a filial pode até mesmo executar uma contratação formalizada com a matriz, não restam motivos para entender que os atestados de capacitação técnica emitidos em favor de uma não possam ser aproveitados pela outra, haja vista serem ambas rigorosamente a mesma empresa.” Vale observar que referido entendimento se inspirou na </w:t>
      </w:r>
      <w:hyperlink r:id="rId50">
        <w:r>
          <w:rPr>
            <w:rFonts w:ascii="Liberation Serif" w:hAnsi="Liberation Serif" w:eastAsia="Segoe UI"/>
            <w:i/>
            <w:iCs/>
            <w:color w:val="000000"/>
            <w:lang w:val="en-US" w:eastAsia="en-US" w:bidi="en-US"/>
          </w:rPr>
          <w:t>ORIENTAÇÃO NORMATIVA Nº 66, DE 29 DE MAIO DE 2020.</w:t>
        </w:r>
      </w:hyperlink>
    </w:p>
  </w:comment>
  <w:comment w:id="47" w:author="Autor" w:date="0-00-00T00:00:00Z" w:initials="A">
    <w:p>
      <w:r>
        <w:rPr>
          <w:rFonts w:ascii="Liberation Serif" w:hAnsi="Liberation Serif" w:eastAsia="Segoe UI"/>
          <w:b/>
          <w:bCs/>
          <w:lang w:val="en-US" w:eastAsia="en-US" w:bidi="en-US"/>
        </w:rPr>
        <w:t>Nota Explicativa:</w:t>
      </w:r>
      <w:r>
        <w:rPr>
          <w:rFonts w:ascii="Liberation Serif" w:hAnsi="Liberation Serif" w:eastAsia="Segoe UI"/>
          <w:lang w:val="en-US" w:eastAsia="en-US" w:bidi="en-US"/>
        </w:rPr>
        <w:t xml:space="preserve"> Eventuais requisitos de qualificação técnica previstos em lei específica e que incidam sobre a atividade objeto da contratação, deverão ser indicados no item 8.31.5, com fundamento no art. 67, inciso IV, da </w:t>
      </w:r>
      <w:hyperlink r:id="rId51">
        <w:r>
          <w:rPr>
            <w:rFonts w:ascii="Liberation Serif" w:hAnsi="Liberation Serif" w:eastAsia="Segoe UI"/>
            <w:lang w:val="en-US" w:eastAsia="en-US" w:bidi="en-US"/>
          </w:rPr>
          <w:t>Lei nº 14.133, de 2021</w:t>
        </w:r>
      </w:hyperlink>
      <w:r>
        <w:rPr>
          <w:rFonts w:ascii="Liberation Serif" w:hAnsi="Liberation Serif" w:eastAsia="Segoe UI"/>
          <w:lang w:val="en-US" w:eastAsia="en-US" w:bidi="en-US"/>
        </w:rPr>
        <w:t xml:space="preserve">. Cita-se, exemplificativamente, a exigência, dentre os documentos de habilitação técnica, da chamada Autorização Especial, emitida pela Agência Nacional de Vigilância Sanitária – Anvisa, nas contratações para aquisição de medicamentos sujeitos a controle especial, com base na </w:t>
      </w:r>
      <w:hyperlink r:id="rId52">
        <w:r>
          <w:rPr>
            <w:rFonts w:ascii="Liberation Serif" w:hAnsi="Liberation Serif" w:eastAsia="Segoe UI"/>
            <w:lang w:val="en-US" w:eastAsia="en-US" w:bidi="en-US"/>
          </w:rPr>
          <w:t>Lei n.º 6.360, de 23 de setembro de 1976</w:t>
        </w:r>
      </w:hyperlink>
      <w:r>
        <w:rPr>
          <w:rFonts w:ascii="Liberation Serif" w:hAnsi="Liberation Serif" w:eastAsia="Segoe UI"/>
          <w:lang w:val="en-US" w:eastAsia="en-US" w:bidi="en-US"/>
        </w:rPr>
        <w:t xml:space="preserve">, e na </w:t>
      </w:r>
      <w:hyperlink r:id="rId53">
        <w:r>
          <w:rPr>
            <w:rFonts w:ascii="Liberation Serif" w:hAnsi="Liberation Serif" w:eastAsia="Segoe UI"/>
            <w:lang w:val="en-US" w:eastAsia="en-US" w:bidi="en-US"/>
          </w:rPr>
          <w:t>Resolução da Diretoria Colegiada da RDC/Anvisa nº 16, de 1º de abril de 2014</w:t>
        </w:r>
      </w:hyperlink>
      <w:r>
        <w:rPr>
          <w:rFonts w:ascii="Liberation Serif" w:hAnsi="Liberation Serif" w:eastAsia="Segoe UI"/>
          <w:lang w:val="en-US" w:eastAsia="en-US" w:bidi="en-US"/>
        </w:rPr>
        <w:t>.</w:t>
      </w:r>
    </w:p>
  </w:comment>
  <w:comment w:id="48" w:author="Autor" w:date="0-00-00T00:00:00Z" w:initials="A">
    <w:p>
      <w:r>
        <w:rPr>
          <w:rFonts w:ascii="Liberation Serif" w:hAnsi="Liberation Serif" w:eastAsia="Segoe UI"/>
          <w:b/>
          <w:bCs/>
          <w:i/>
          <w:iCs/>
          <w:color w:val="000000"/>
          <w:lang w:val="en-US" w:eastAsia="en-US" w:bidi="en-US"/>
        </w:rPr>
        <w:t xml:space="preserve">Nota Explicativa 1: </w:t>
      </w:r>
      <w:r>
        <w:rPr>
          <w:rFonts w:ascii="Liberation Serif" w:hAnsi="Liberation Serif" w:eastAsia="Segoe UI"/>
          <w:i/>
          <w:iCs/>
          <w:color w:val="000000"/>
          <w:lang w:val="en-US" w:eastAsia="en-US" w:bidi="en-US"/>
        </w:rPr>
        <w:t xml:space="preserve">Pesquisa de Preços - A estimativa de preços deve ser precedida de regular pesquisa, nos moldes do </w:t>
      </w:r>
      <w:hyperlink r:id="rId54">
        <w:r>
          <w:rPr>
            <w:rFonts w:ascii="Liberation Serif" w:hAnsi="Liberation Serif" w:eastAsia="Segoe UI"/>
            <w:i/>
            <w:iCs/>
            <w:color w:val="000000"/>
            <w:lang w:val="en-US" w:eastAsia="en-US" w:bidi="en-US"/>
          </w:rPr>
          <w:t>art. 23 da Lei nº 14.133, de 2021</w:t>
        </w:r>
      </w:hyperlink>
      <w:r>
        <w:rPr>
          <w:rFonts w:ascii="Liberation Serif" w:hAnsi="Liberation Serif" w:eastAsia="Segoe UI"/>
          <w:i/>
          <w:iCs/>
          <w:color w:val="000000"/>
          <w:lang w:val="en-US" w:eastAsia="en-US" w:bidi="en-US"/>
        </w:rPr>
        <w:t xml:space="preserve">, e da </w:t>
      </w:r>
      <w:hyperlink r:id="rId55">
        <w:r>
          <w:rPr>
            <w:rFonts w:ascii="Liberation Serif" w:hAnsi="Liberation Serif" w:eastAsia="Segoe UI"/>
            <w:i/>
            <w:iCs/>
            <w:color w:val="000000"/>
            <w:lang w:val="en-US" w:eastAsia="en-US" w:bidi="en-US"/>
          </w:rPr>
          <w:t>Instrução Normativa SEGES/ME nº 65, de 7 de julho 2021.</w:t>
        </w:r>
      </w:hyperlink>
    </w:p>
    <w:p>
      <w:r>
        <w:rPr>
          <w:rFonts w:ascii="Liberation Serif" w:hAnsi="Liberation Serif" w:eastAsia="Segoe UI"/>
          <w:b/>
          <w:bCs/>
          <w:i/>
          <w:iCs/>
          <w:lang w:val="en-US" w:eastAsia="en-US" w:bidi="en-US"/>
        </w:rPr>
        <w:t>Nota Explicativa 2:</w:t>
      </w:r>
      <w:r>
        <w:rPr>
          <w:rFonts w:ascii="Liberation Serif" w:hAnsi="Liberation Serif" w:eastAsia="Segoe UI"/>
          <w:i/>
          <w:iCs/>
          <w:lang w:val="en-US" w:eastAsia="en-US" w:bidi="en-US"/>
        </w:rPr>
        <w:t xml:space="preserve"> Os preços unitários referenciais, as memórias de cálculo e os documentos que lhe dão suporte, com os parâmetros utilizados para a obtenção dos preços e para os respectivos cálculos, devem constar de anexo ao termo de referência,</w:t>
      </w:r>
      <w:r>
        <w:rPr>
          <w:rFonts w:ascii="Liberation Serif" w:hAnsi="Liberation Serif" w:eastAsia="Segoe UI"/>
          <w:i/>
          <w:iCs/>
          <w:color w:val="FF0000"/>
          <w:lang w:val="en-US" w:eastAsia="en-US" w:bidi="en-US"/>
        </w:rPr>
        <w:t xml:space="preserve"> </w:t>
      </w:r>
      <w:r>
        <w:rPr>
          <w:rFonts w:ascii="Liberation Serif" w:hAnsi="Liberation Serif" w:eastAsia="Segoe UI"/>
          <w:i/>
          <w:iCs/>
          <w:lang w:val="en-US" w:eastAsia="en-US" w:bidi="en-US"/>
        </w:rPr>
        <w:t xml:space="preserve">nos termos do </w:t>
      </w:r>
      <w:hyperlink r:id="rId56">
        <w:r>
          <w:rPr>
            <w:rFonts w:ascii="Liberation Serif" w:hAnsi="Liberation Serif" w:eastAsia="Segoe UI"/>
            <w:i/>
            <w:iCs/>
            <w:lang w:val="en-US" w:eastAsia="en-US" w:bidi="en-US"/>
          </w:rPr>
          <w:t>art. 9º, IX, da Instrução Normativa Seges/ME nº 81, de 2022</w:t>
        </w:r>
      </w:hyperlink>
      <w:r>
        <w:rPr>
          <w:rFonts w:ascii="Liberation Serif" w:hAnsi="Liberation Serif" w:eastAsia="Segoe UI"/>
          <w:i/>
          <w:iCs/>
          <w:lang w:val="en-US" w:eastAsia="en-US" w:bidi="en-US"/>
        </w:rPr>
        <w:t xml:space="preserve">. Caso a Administração opte por preservar o sigilo da estimativa do valor da contratação, também deverá ser preservado o sigilo desse anexo. </w:t>
      </w:r>
    </w:p>
    <w:p>
      <w:r>
        <w:rPr>
          <w:rFonts w:ascii="Liberation Serif" w:hAnsi="Liberation Serif" w:eastAsia="Segoe UI"/>
          <w:b/>
          <w:bCs/>
          <w:i/>
          <w:iCs/>
          <w:lang w:val="en-US" w:eastAsia="en-US" w:bidi="en-US"/>
        </w:rPr>
        <w:t xml:space="preserve">Nota Explicativa 3: </w:t>
      </w:r>
      <w:r>
        <w:rPr>
          <w:rFonts w:ascii="Liberation Serif" w:hAnsi="Liberation Serif" w:eastAsia="Segoe UI"/>
          <w:i/>
          <w:iCs/>
          <w:lang w:val="en-US" w:eastAsia="en-US" w:bidi="en-US"/>
        </w:rPr>
        <w:t>Utilizar a redação do item 9.1 na hipótese em que for adotado o critério de julgamento por menor preço, sem caráter sigiloso.</w:t>
      </w:r>
    </w:p>
  </w:comment>
  <w:comment w:id="49" w:author="Autor" w:date="0-00-00T00:00:00Z" w:initials="A">
    <w:p>
      <w:r>
        <w:rPr>
          <w:rFonts w:ascii="Liberation Serif" w:hAnsi="Liberation Serif" w:eastAsia="Segoe UI"/>
          <w:b/>
          <w:bCs/>
          <w:i/>
          <w:iCs/>
          <w:color w:val="000000"/>
          <w:lang w:val="en-US" w:eastAsia="en-US" w:bidi="en-US"/>
        </w:rPr>
        <w:t xml:space="preserve">Nota Explicativa: </w:t>
      </w:r>
      <w:r>
        <w:rPr>
          <w:rFonts w:ascii="Liberation Serif" w:hAnsi="Liberation Serif" w:eastAsia="Segoe UI"/>
          <w:i/>
          <w:iCs/>
          <w:color w:val="000000"/>
          <w:lang w:val="en-US" w:eastAsia="en-US" w:bidi="en-US"/>
        </w:rPr>
        <w:t xml:space="preserve">O art. 106, II da </w:t>
      </w:r>
      <w:hyperlink r:id="rId57">
        <w:r>
          <w:rPr>
            <w:rFonts w:ascii="Liberation Serif" w:hAnsi="Liberation Serif" w:eastAsia="Segoe UI"/>
            <w:i/>
            <w:iCs/>
            <w:color w:val="000000"/>
            <w:lang w:val="en-US" w:eastAsia="en-US" w:bidi="en-US"/>
          </w:rPr>
          <w:t>Lei nº 14.133, de 2021</w:t>
        </w:r>
      </w:hyperlink>
      <w:r>
        <w:rPr>
          <w:rFonts w:ascii="Liberation Serif" w:hAnsi="Liberation Serif" w:eastAsia="Segoe UI"/>
          <w:i/>
          <w:iCs/>
          <w:color w:val="000000"/>
          <w:lang w:val="en-US" w:eastAsia="en-US" w:bidi="en-US"/>
        </w:rPr>
        <w:t>, prevê para contratações de serviços e fornecimento continuado que a “a Administração deverá atestar, no início da contratação e de cada exercício, a existência de créditos orçamentários vinculados à contratação e a vantagem em sua manutenção”. Quanto à rescisão contratual por ausência de crédito ou vantajosidade (art. 106, III), remete-se às regras específicas constantes do contrato, inclusive em relação à aplicação do art. 106, §1º.</w:t>
      </w:r>
    </w:p>
  </w:comment>
</w:comments>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Ecofont_Spranq_eco_Sans">
    <w:charset w:val="00"/>
    <w:family w:val="roman"/>
    <w:pitch w:val="variable"/>
  </w:font>
  <w:font w:name="Calibri">
    <w:charset w:val="00"/>
    <w:family w:val="roman"/>
    <w:pitch w:val="variable"/>
  </w:font>
  <w:font w:name="Tahoma">
    <w:charset w:val="00"/>
    <w:family w:val="roman"/>
    <w:pitch w:val="variable"/>
  </w:font>
  <w:font w:name="Arial">
    <w:charset w:val="00"/>
    <w:family w:val="roman"/>
    <w:pitch w:val="variable"/>
  </w:font>
  <w:font w:name="Liberation Sans">
    <w:altName w:val="Arial"/>
    <w:charset w:val="00"/>
    <w:family w:val="roman"/>
    <w:pitch w:val="variable"/>
  </w:font>
  <w:font w:name="Rawline">
    <w:charset w:val="00"/>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1514368162"/>
    </w:sdtPr>
    <w:sdtContent>
      <w:p>
        <w:pPr>
          <w:pStyle w:val="Rodap"/>
          <w:rPr>
            <w:color w:val="548DD4" w:themeColor="text2" w:themeTint="99"/>
            <w:spacing w:val="60"/>
            <w:sz w:val="16"/>
            <w:szCs w:val="16"/>
          </w:rPr>
        </w:pPr>
        <w:r>
          <w:rPr>
            <w:color w:val="548DD4" w:themeColor="text2" w:themeTint="99"/>
            <w:spacing w:val="60"/>
            <w:sz w:val="22"/>
            <w:szCs w:val="22"/>
          </w:rPr>
          <w:tab/>
          <w:tab/>
        </w:r>
      </w:p>
      <w:p>
        <w:pPr>
          <w:pStyle w:val="Rodap"/>
          <w:rPr>
            <w:rFonts w:ascii="Arial" w:hAnsi="Arial" w:cs="Arial"/>
            <w:color w:val="7F7F7F" w:themeColor="text1" w:themeTint="80"/>
            <w:sz w:val="12"/>
          </w:rPr>
        </w:pPr>
        <w:r>
          <w:rPr>
            <w:color w:val="7F7F7F" w:themeColor="text1" w:themeTint="80"/>
            <w:spacing w:val="60"/>
            <w:sz w:val="22"/>
            <w:szCs w:val="22"/>
          </w:rPr>
          <w:tab/>
          <w:tab/>
        </w:r>
        <w:r>
          <w:rPr>
            <w:color w:val="595959" w:themeColor="text1" w:themeTint="a6"/>
            <w:spacing w:val="60"/>
            <w:sz w:val="22"/>
            <w:szCs w:val="22"/>
          </w:rPr>
          <w:t>Página</w:t>
        </w:r>
        <w:r>
          <w:rPr>
            <w:color w:val="595959" w:themeColor="text1" w:themeTint="a6"/>
            <w:sz w:val="22"/>
            <w:szCs w:val="22"/>
          </w:rPr>
          <w:t xml:space="preserve"> </w:t>
        </w:r>
        <w:r>
          <w:rPr>
            <w:color w:val="595959"/>
            <w:sz w:val="22"/>
            <w:szCs w:val="22"/>
            <w:shd w:fill="E6E6E6" w:val="clear"/>
          </w:rPr>
          <w:fldChar w:fldCharType="begin"/>
        </w:r>
        <w:r>
          <w:rPr>
            <w:sz w:val="22"/>
            <w:shd w:fill="E6E6E6" w:val="clear"/>
            <w:szCs w:val="22"/>
            <w:color w:val="595959"/>
          </w:rPr>
          <w:instrText> PAGE </w:instrText>
        </w:r>
        <w:r>
          <w:rPr>
            <w:sz w:val="22"/>
            <w:shd w:fill="E6E6E6" w:val="clear"/>
            <w:szCs w:val="22"/>
            <w:color w:val="595959"/>
          </w:rPr>
          <w:fldChar w:fldCharType="separate"/>
        </w:r>
        <w:r>
          <w:rPr>
            <w:sz w:val="22"/>
            <w:shd w:fill="E6E6E6" w:val="clear"/>
            <w:szCs w:val="22"/>
            <w:color w:val="595959"/>
          </w:rPr>
          <w:t>13</w:t>
        </w:r>
        <w:r>
          <w:rPr>
            <w:sz w:val="22"/>
            <w:shd w:fill="E6E6E6" w:val="clear"/>
            <w:szCs w:val="22"/>
            <w:color w:val="595959"/>
          </w:rPr>
          <w:fldChar w:fldCharType="end"/>
        </w:r>
        <w:r>
          <w:rPr>
            <w:color w:val="595959" w:themeColor="text1" w:themeTint="a6"/>
            <w:sz w:val="22"/>
            <w:szCs w:val="22"/>
          </w:rPr>
          <w:t xml:space="preserve"> | </w:t>
        </w:r>
        <w:r>
          <w:rPr>
            <w:color w:val="595959"/>
            <w:sz w:val="22"/>
            <w:szCs w:val="22"/>
            <w:shd w:fill="E6E6E6" w:val="clear"/>
          </w:rPr>
          <w:fldChar w:fldCharType="begin"/>
        </w:r>
        <w:r>
          <w:rPr>
            <w:sz w:val="22"/>
            <w:shd w:fill="E6E6E6" w:val="clear"/>
            <w:szCs w:val="22"/>
            <w:color w:val="595959"/>
          </w:rPr>
          <w:instrText> NUMPAGES </w:instrText>
        </w:r>
        <w:r>
          <w:rPr>
            <w:sz w:val="22"/>
            <w:shd w:fill="E6E6E6" w:val="clear"/>
            <w:szCs w:val="22"/>
            <w:color w:val="595959"/>
          </w:rPr>
          <w:fldChar w:fldCharType="separate"/>
        </w:r>
        <w:r>
          <w:rPr>
            <w:sz w:val="22"/>
            <w:shd w:fill="E6E6E6" w:val="clear"/>
            <w:szCs w:val="22"/>
            <w:color w:val="595959"/>
          </w:rPr>
          <w:t>13</w:t>
        </w:r>
        <w:r>
          <w:rPr>
            <w:sz w:val="22"/>
            <w:shd w:fill="E6E6E6" w:val="clear"/>
            <w:szCs w:val="22"/>
            <w:color w:val="595959"/>
          </w:rPr>
          <w:fldChar w:fldCharType="end"/>
        </w:r>
      </w:p>
      <w:p>
        <w:pPr>
          <w:pStyle w:val="Rodap"/>
          <w:rPr>
            <w:rFonts w:ascii="Rawline" w:hAnsi="Rawline" w:cs="Arial"/>
            <w:sz w:val="12"/>
          </w:rPr>
        </w:pPr>
        <w:r>
          <w:rPr>
            <w:rFonts w:cs="Arial" w:ascii="Rawline" w:hAnsi="Rawline"/>
            <w:sz w:val="12"/>
          </w:rPr>
          <w:t>Câmara Nacional de Modelos de Licitações e Contratos da Consultoria-Geral da União</w:t>
        </w:r>
      </w:p>
      <w:p>
        <w:pPr>
          <w:pStyle w:val="Rodap"/>
          <w:rPr>
            <w:rFonts w:ascii="Rawline" w:hAnsi="Rawline" w:cs="Arial"/>
            <w:sz w:val="12"/>
          </w:rPr>
        </w:pPr>
        <w:r>
          <w:rPr>
            <w:rFonts w:cs="Arial" w:ascii="Rawline" w:hAnsi="Rawline"/>
            <w:sz w:val="12"/>
          </w:rPr>
          <w:t>Atualização: Agosto de 2023</w:t>
        </w:r>
      </w:p>
      <w:p>
        <w:pPr>
          <w:pStyle w:val="Rodap"/>
          <w:rPr>
            <w:rFonts w:ascii="Rawline" w:hAnsi="Rawline"/>
            <w:color w:val="0F243E" w:themeColor="text2" w:themeShade="80"/>
            <w:sz w:val="22"/>
            <w:szCs w:val="22"/>
          </w:rPr>
        </w:pPr>
        <w:r>
          <w:rPr>
            <w:rFonts w:cs="Arial" w:ascii="Rawline" w:hAnsi="Rawline"/>
            <w:sz w:val="12"/>
            <w:szCs w:val="12"/>
          </w:rPr>
          <w:t>Termo de Referência Aquisições – Contratação Direta</w:t>
          <w:tab/>
          <w:tab/>
        </w:r>
      </w:p>
      <w:p>
        <w:pPr>
          <w:pStyle w:val="Rodap"/>
          <w:rPr>
            <w:rFonts w:ascii="Rawline" w:hAnsi="Rawline"/>
            <w:sz w:val="12"/>
            <w:szCs w:val="12"/>
          </w:rPr>
        </w:pPr>
        <w:r>
          <w:rPr>
            <w:rFonts w:ascii="Rawline" w:hAnsi="Rawline"/>
            <w:sz w:val="12"/>
            <w:szCs w:val="12"/>
          </w:rPr>
          <w:t>Aprovado pela Secretaria de Gestão.</w:t>
        </w:r>
      </w:p>
      <w:p>
        <w:pPr>
          <w:pStyle w:val="Rodap"/>
          <w:rPr>
            <w:rFonts w:ascii="Rawline" w:hAnsi="Rawline"/>
          </w:rPr>
        </w:pPr>
        <w:r>
          <w:rPr>
            <w:rFonts w:ascii="Rawline" w:hAnsi="Rawline"/>
            <w:sz w:val="12"/>
            <w:szCs w:val="12"/>
          </w:rPr>
          <w:t>Identidade visual pela Secretaria de Gestão</w:t>
        </w:r>
      </w:p>
    </w:sdtContent>
  </w:sdt>
  <w:p>
    <w:pPr>
      <w:pStyle w:val="Rodap"/>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alho"/>
      <w:jc w:val="right"/>
      <w:rPr>
        <w:rFonts w:ascii="Arial" w:hAnsi="Arial" w:cs="Arial"/>
        <w:sz w:val="20"/>
        <w:szCs w:val="20"/>
      </w:rPr>
    </w:pPr>
    <w:r>
      <w:rPr>
        <w:rFonts w:cs="Arial" w:ascii="Arial" w:hAnsi="Arial"/>
        <w:sz w:val="20"/>
        <w:szCs w:val="20"/>
      </w:rPr>
      <w:t xml:space="preserve">TERMO DE REFERÊNCIA - AQUISIÇÕES – </w:t>
    </w:r>
    <w:r>
      <w:rPr>
        <w:rFonts w:cs="Arial" w:ascii="Arial" w:hAnsi="Arial"/>
        <w:sz w:val="20"/>
        <w:szCs w:val="20"/>
        <w:highlight w:val="green"/>
      </w:rPr>
      <w:t>CONTRATAÇÃO DIRETA</w:t>
    </w:r>
  </w:p>
  <w:p>
    <w:pPr>
      <w:pStyle w:val="Cabealho"/>
      <w:jc w:val="right"/>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o"/>
      <w:lvlJc w:val="left"/>
      <w:pPr>
        <w:tabs>
          <w:tab w:val="num" w:pos="0"/>
        </w:tabs>
        <w:ind w:left="720" w:hanging="360"/>
      </w:pPr>
      <w:rPr>
        <w:rFonts w:ascii="Courier New" w:hAnsi="Courier New" w:cs="Courier New"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lvl w:ilvl="0">
      <w:start w:val="1"/>
      <w:numFmt w:val="decimal"/>
      <w:lvlText w:val="%1."/>
      <w:lvlJc w:val="left"/>
      <w:pPr>
        <w:tabs>
          <w:tab w:val="num" w:pos="0"/>
        </w:tabs>
        <w:ind w:left="360" w:hanging="360"/>
      </w:pPr>
      <w:rPr>
        <w:sz w:val="21"/>
        <w:b/>
        <w:rFonts w:ascii="Calibri" w:hAnsi="Calibri"/>
      </w:rPr>
    </w:lvl>
    <w:lvl w:ilvl="1">
      <w:start w:val="1"/>
      <w:numFmt w:val="decimal"/>
      <w:lvlText w:val="%1.%2."/>
      <w:lvlJc w:val="left"/>
      <w:pPr>
        <w:tabs>
          <w:tab w:val="num" w:pos="0"/>
        </w:tabs>
        <w:ind w:left="999" w:hanging="432"/>
      </w:pPr>
      <w:rPr>
        <w:dstrike w:val="false"/>
        <w:strike w:val="false"/>
        <w:sz w:val="24"/>
        <w:i w:val="false"/>
        <w:u w:val="none"/>
        <w:b/>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
    <w:lvl w:ilvl="0">
      <w:start w:val="1"/>
      <w:numFmt w:val="bullet"/>
      <w:lvlText w:val=""/>
      <w:lvlJc w:val="left"/>
      <w:pPr>
        <w:tabs>
          <w:tab w:val="num" w:pos="1492"/>
        </w:tabs>
        <w:ind w:left="1492"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
    <w:lvl w:ilvl="0">
      <w:start w:val="1"/>
      <w:numFmt w:val="upperRoman"/>
      <w:lvlText w:val="%1)"/>
      <w:lvlJc w:val="left"/>
      <w:pPr>
        <w:tabs>
          <w:tab w:val="num" w:pos="0"/>
        </w:tabs>
        <w:ind w:left="2136" w:hanging="720"/>
      </w:pPr>
    </w:lvl>
    <w:lvl w:ilvl="1">
      <w:start w:val="1"/>
      <w:numFmt w:val="lowerLetter"/>
      <w:lvlText w:val="%2."/>
      <w:lvlJc w:val="left"/>
      <w:pPr>
        <w:tabs>
          <w:tab w:val="num" w:pos="0"/>
        </w:tabs>
        <w:ind w:left="2496" w:hanging="360"/>
      </w:pPr>
    </w:lvl>
    <w:lvl w:ilvl="2">
      <w:start w:val="1"/>
      <w:numFmt w:val="lowerRoman"/>
      <w:lvlText w:val="%3."/>
      <w:lvlJc w:val="right"/>
      <w:pPr>
        <w:tabs>
          <w:tab w:val="num" w:pos="0"/>
        </w:tabs>
        <w:ind w:left="3216" w:hanging="180"/>
      </w:pPr>
    </w:lvl>
    <w:lvl w:ilvl="3">
      <w:start w:val="1"/>
      <w:numFmt w:val="decimal"/>
      <w:lvlText w:val="%4."/>
      <w:lvlJc w:val="left"/>
      <w:pPr>
        <w:tabs>
          <w:tab w:val="num" w:pos="0"/>
        </w:tabs>
        <w:ind w:left="3936" w:hanging="360"/>
      </w:pPr>
    </w:lvl>
    <w:lvl w:ilvl="4">
      <w:start w:val="1"/>
      <w:numFmt w:val="lowerLetter"/>
      <w:lvlText w:val="%5."/>
      <w:lvlJc w:val="left"/>
      <w:pPr>
        <w:tabs>
          <w:tab w:val="num" w:pos="0"/>
        </w:tabs>
        <w:ind w:left="4656" w:hanging="360"/>
      </w:pPr>
    </w:lvl>
    <w:lvl w:ilvl="5">
      <w:start w:val="1"/>
      <w:numFmt w:val="lowerRoman"/>
      <w:lvlText w:val="%6."/>
      <w:lvlJc w:val="right"/>
      <w:pPr>
        <w:tabs>
          <w:tab w:val="num" w:pos="0"/>
        </w:tabs>
        <w:ind w:left="5376" w:hanging="180"/>
      </w:pPr>
    </w:lvl>
    <w:lvl w:ilvl="6">
      <w:start w:val="1"/>
      <w:numFmt w:val="decimal"/>
      <w:lvlText w:val="%7."/>
      <w:lvlJc w:val="left"/>
      <w:pPr>
        <w:tabs>
          <w:tab w:val="num" w:pos="0"/>
        </w:tabs>
        <w:ind w:left="6096" w:hanging="360"/>
      </w:pPr>
    </w:lvl>
    <w:lvl w:ilvl="7">
      <w:start w:val="1"/>
      <w:numFmt w:val="lowerLetter"/>
      <w:lvlText w:val="%8."/>
      <w:lvlJc w:val="left"/>
      <w:pPr>
        <w:tabs>
          <w:tab w:val="num" w:pos="0"/>
        </w:tabs>
        <w:ind w:left="6816" w:hanging="360"/>
      </w:pPr>
    </w:lvl>
    <w:lvl w:ilvl="8">
      <w:start w:val="1"/>
      <w:numFmt w:val="lowerRoman"/>
      <w:lvlText w:val="%9."/>
      <w:lvlJc w:val="right"/>
      <w:pPr>
        <w:tabs>
          <w:tab w:val="num" w:pos="0"/>
        </w:tabs>
        <w:ind w:left="7536" w:hanging="180"/>
      </w:pPr>
    </w:lvl>
  </w:abstractNum>
  <w:abstractNum w:abstractNumId="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7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0">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1">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2">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3">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4">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5">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6">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7">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8">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999" w:hanging="432"/>
      </w:pPr>
      <w:rPr>
        <w:dstrike w:val="false"/>
        <w:strike w:val="false"/>
        <w:sz w:val="20"/>
        <w:i w:val="false"/>
        <w:u w:val="none"/>
        <w:b w:val="false"/>
        <w:szCs w:val="20"/>
        <w:color w:val="auto"/>
      </w:rPr>
    </w:lvl>
    <w:lvl w:ilvl="2">
      <w:start w:val="1"/>
      <w:numFmt w:val="decimal"/>
      <w:lvlText w:val="%1.%2.%3."/>
      <w:lvlJc w:val="left"/>
      <w:pPr>
        <w:tabs>
          <w:tab w:val="num" w:pos="0"/>
        </w:tabs>
        <w:ind w:left="1781" w:hanging="504"/>
      </w:pPr>
      <w:rPr>
        <w:dstrike w:val="false"/>
        <w:strike w:val="false"/>
        <w:sz w:val="20"/>
        <w:i w:val="false"/>
        <w:b w:val="false"/>
        <w:szCs w:val="20"/>
        <w:color w:val="auto"/>
      </w:rPr>
    </w:lvl>
    <w:lvl w:ilvl="3">
      <w:start w:val="1"/>
      <w:numFmt w:val="decimal"/>
      <w:lvlText w:val="%1.%2.%3.%4."/>
      <w:lvlJc w:val="left"/>
      <w:pPr>
        <w:tabs>
          <w:tab w:val="num" w:pos="0"/>
        </w:tabs>
        <w:ind w:left="2491"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49">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 w:numId="58">
    <w:abstractNumId w:val="58"/>
  </w:num>
  <w:num w:numId="59">
    <w:abstractNumId w:val="59"/>
  </w:num>
  <w:num w:numId="60">
    <w:abstractNumId w:val="60"/>
  </w:num>
  <w:num w:numId="61">
    <w:abstractNumId w:val="61"/>
  </w:num>
  <w:num w:numId="62">
    <w:abstractNumId w:val="62"/>
  </w:num>
  <w:num w:numId="63">
    <w:abstractNumId w:val="63"/>
  </w:num>
  <w:num w:numId="64">
    <w:abstractNumId w:val="64"/>
  </w:num>
  <w:num w:numId="65">
    <w:abstractNumId w:val="65"/>
  </w:num>
  <w:num w:numId="66">
    <w:abstractNumId w:val="66"/>
  </w:num>
  <w:num w:numId="67">
    <w:abstractNumId w:val="67"/>
  </w:num>
  <w:num w:numId="68">
    <w:abstractNumId w:val="68"/>
  </w:num>
  <w:num w:numId="69">
    <w:abstractNumId w:val="69"/>
  </w:num>
  <w:num w:numId="70">
    <w:abstractNumId w:val="70"/>
  </w:num>
  <w:num w:numId="71">
    <w:abstractNumId w:val="71"/>
  </w:num>
  <w:num w:numId="72">
    <w:abstractNumId w:val="72"/>
  </w:num>
  <w:num w:numId="73">
    <w:abstractNumId w:val="73"/>
  </w:num>
  <w:num w:numId="74">
    <w:abstractNumId w:val="74"/>
  </w:num>
  <w:num w:numId="75">
    <w:abstractNumId w:val="75"/>
  </w:num>
  <w:num w:numId="76">
    <w:abstractNumId w:val="76"/>
  </w:num>
  <w:num w:numId="77">
    <w:abstractNumId w:val="77"/>
  </w:num>
  <w:num w:numId="78">
    <w:abstractNumId w:val="78"/>
  </w:num>
  <w:num w:numId="79">
    <w:abstractNumId w:val="79"/>
  </w:num>
  <w:num w:numId="80">
    <w:abstractNumId w:val="80"/>
  </w:num>
  <w:num w:numId="81">
    <w:abstractNumId w:val="81"/>
  </w:num>
  <w:num w:numId="82">
    <w:abstractNumId w:val="82"/>
  </w:num>
  <w:num w:numId="83">
    <w:abstractNumId w:val="83"/>
  </w:num>
  <w:num w:numId="84">
    <w:abstractNumId w:val="84"/>
  </w:num>
  <w:num w:numId="85">
    <w:abstractNumId w:val="85"/>
  </w:num>
  <w:num w:numId="86">
    <w:abstractNumId w:val="86"/>
  </w:num>
  <w:num w:numId="87">
    <w:abstractNumId w:val="87"/>
  </w:num>
  <w:num w:numId="88">
    <w:abstractNumId w:val="88"/>
  </w:num>
  <w:num w:numId="89">
    <w:abstractNumId w:val="89"/>
  </w:num>
  <w:num w:numId="90">
    <w:abstractNumId w:val="90"/>
  </w:num>
  <w:num w:numId="91">
    <w:abstractNumId w:val="91"/>
  </w:num>
  <w:num w:numId="92">
    <w:abstractNumId w:val="92"/>
  </w:num>
  <w:num w:numId="93">
    <w:abstractNumId w:val="93"/>
  </w:num>
  <w:num w:numId="94">
    <w:abstractNumId w:val="94"/>
  </w:num>
  <w:num w:numId="95">
    <w:abstractNumId w:val="95"/>
  </w:num>
  <w:num w:numId="96">
    <w:abstractNumId w:val="96"/>
  </w:num>
  <w:num w:numId="97">
    <w:abstractNumId w:val="97"/>
  </w:num>
  <w:num w:numId="98">
    <w:abstractNumId w:val="98"/>
  </w:num>
  <w:num w:numId="99">
    <w:abstractNumId w:val="99"/>
  </w:num>
  <w:num w:numId="100">
    <w:abstractNumId w:val="100"/>
  </w:num>
  <w:num w:numId="101">
    <w:abstractNumId w:val="101"/>
  </w:num>
  <w:num w:numId="102">
    <w:abstractNumId w:val="102"/>
  </w:num>
  <w:num w:numId="103">
    <w:abstractNumId w:val="103"/>
  </w:num>
  <w:num w:numId="104">
    <w:abstractNumId w:val="104"/>
  </w:num>
  <w:num w:numId="105">
    <w:abstractNumId w:val="105"/>
  </w:num>
  <w:num w:numId="106">
    <w:abstractNumId w:val="106"/>
  </w:num>
  <w:num w:numId="107">
    <w:abstractNumId w:val="107"/>
  </w:num>
  <w:num w:numId="108">
    <w:abstractNumId w:val="108"/>
  </w:num>
  <w:num w:numId="109">
    <w:abstractNumId w:val="109"/>
  </w:num>
  <w:num w:numId="110">
    <w:abstractNumId w:val="110"/>
  </w:num>
  <w:num w:numId="111">
    <w:abstractNumId w:val="111"/>
  </w:num>
  <w:num w:numId="112">
    <w:abstractNumId w:val="112"/>
  </w:num>
  <w:num w:numId="113">
    <w:abstractNumId w:val="113"/>
  </w:num>
  <w:num w:numId="114">
    <w:abstractNumId w:val="114"/>
  </w:num>
  <w:num w:numId="115">
    <w:abstractNumId w:val="115"/>
  </w:num>
  <w:num w:numId="116">
    <w:abstractNumId w:val="116"/>
  </w:num>
  <w:num w:numId="117">
    <w:abstractNumId w:val="117"/>
  </w:num>
  <w:num w:numId="118">
    <w:abstractNumId w:val="118"/>
  </w:num>
  <w:num w:numId="119">
    <w:abstractNumId w:val="119"/>
  </w:num>
  <w:num w:numId="120">
    <w:abstractNumId w:val="120"/>
  </w:num>
  <w:num w:numId="121">
    <w:abstractNumId w:val="121"/>
  </w:num>
  <w:num w:numId="122">
    <w:abstractNumId w:val="122"/>
  </w:num>
  <w:num w:numId="123">
    <w:abstractNumId w:val="123"/>
  </w:num>
  <w:num w:numId="124">
    <w:abstractNumId w:val="124"/>
  </w:num>
  <w:num w:numId="125">
    <w:abstractNumId w:val="125"/>
  </w:num>
  <w:num w:numId="126">
    <w:abstractNumId w:val="126"/>
  </w:num>
  <w:num w:numId="127">
    <w:abstractNumId w:val="127"/>
  </w:num>
  <w:num w:numId="128">
    <w:abstractNumId w:val="128"/>
  </w:num>
  <w:num w:numId="129">
    <w:abstractNumId w:val="129"/>
  </w:num>
  <w:num w:numId="130">
    <w:abstractNumId w:val="130"/>
  </w:num>
  <w:num w:numId="131">
    <w:abstractNumId w:val="131"/>
  </w:num>
  <w:num w:numId="132">
    <w:abstractNumId w:val="132"/>
  </w:num>
  <w:num w:numId="133">
    <w:abstractNumId w:val="133"/>
  </w:num>
  <w:num w:numId="134">
    <w:abstractNumId w:val="134"/>
  </w:num>
  <w:num w:numId="135">
    <w:abstractNumId w:val="135"/>
  </w:num>
  <w:num w:numId="136">
    <w:abstractNumId w:val="136"/>
  </w:num>
  <w:num w:numId="137">
    <w:abstractNumId w:val="137"/>
  </w:num>
  <w:num w:numId="138">
    <w:abstractNumId w:val="138"/>
  </w:num>
  <w:num w:numId="139">
    <w:abstractNumId w:val="139"/>
  </w:num>
  <w:num w:numId="140">
    <w:abstractNumId w:val="140"/>
  </w:num>
  <w:num w:numId="141">
    <w:abstractNumId w:val="141"/>
  </w:num>
  <w:num w:numId="142">
    <w:abstractNumId w:val="142"/>
  </w:num>
  <w:num w:numId="143">
    <w:abstractNumId w:val="143"/>
  </w:num>
  <w:num w:numId="144">
    <w:abstractNumId w:val="144"/>
  </w:num>
  <w:num w:numId="145">
    <w:abstractNumId w:val="145"/>
  </w:num>
  <w:num w:numId="146">
    <w:abstractNumId w:val="146"/>
  </w:num>
  <w:num w:numId="147">
    <w:abstractNumId w:val="147"/>
  </w:num>
  <w:num w:numId="148">
    <w:abstractNumId w:val="148"/>
  </w:num>
  <w:num w:numId="149">
    <w:abstractNumId w:val="149"/>
  </w:num>
  <w:num w:numId="150">
    <w:abstractNumId w:val="4"/>
  </w:num>
  <w:num w:numId="151">
    <w:abstractNumId w:val="4"/>
  </w:num>
  <w:num w:numId="152">
    <w:abstractNumId w:val="4"/>
  </w:num>
  <w:num w:numId="153">
    <w:abstractNumId w:val="4"/>
  </w:num>
  <w:num w:numId="154">
    <w:abstractNumId w:val="4"/>
  </w:num>
  <w:num w:numId="155">
    <w:abstractNumId w:val="4"/>
  </w:num>
  <w:num w:numId="156">
    <w:abstractNumId w:val="4"/>
  </w:num>
  <w:num w:numId="157">
    <w:abstractNumId w:val="4"/>
  </w:num>
  <w:num w:numId="158">
    <w:abstractNumId w:val="4"/>
  </w:num>
  <w:num w:numId="159">
    <w:abstractNumId w:val="4"/>
  </w:num>
  <w:num w:numId="160">
    <w:abstractNumId w:val="4"/>
  </w:num>
  <w:num w:numId="161">
    <w:abstractNumId w:val="4"/>
  </w:num>
  <w:num w:numId="162">
    <w:abstractNumId w:val="4"/>
  </w:num>
  <w:num w:numId="163">
    <w:abstractNumId w:val="4"/>
  </w:num>
  <w:num w:numId="164">
    <w:abstractNumId w:val="4"/>
  </w:num>
  <w:num w:numId="165">
    <w:abstractNumId w:val="4"/>
  </w:num>
  <w:num w:numId="166">
    <w:abstractNumId w:val="4"/>
  </w:num>
  <w:num w:numId="167">
    <w:abstractNumId w:val="4"/>
  </w:num>
  <w:num w:numId="168">
    <w:abstractNumId w:val="4"/>
  </w:num>
  <w:num w:numId="169">
    <w:abstractNumId w:val="4"/>
  </w:num>
  <w:num w:numId="170">
    <w:abstractNumId w:val="4"/>
  </w:num>
  <w:num w:numId="171">
    <w:abstractNumId w:val="4"/>
  </w:num>
  <w:num w:numId="172">
    <w:abstractNumId w:val="4"/>
  </w:num>
  <w:num w:numId="173">
    <w:abstractNumId w:val="4"/>
  </w:num>
  <w:num w:numId="174">
    <w:abstractNumId w:val="4"/>
  </w:num>
  <w:num w:numId="175">
    <w:abstractNumId w:val="4"/>
  </w:num>
  <w:num w:numId="176">
    <w:abstractNumId w:val="4"/>
  </w:num>
  <w:num w:numId="177">
    <w:abstractNumId w:val="4"/>
  </w:num>
  <w:num w:numId="178">
    <w:abstractNumId w:val="4"/>
  </w:num>
  <w:num w:numId="179">
    <w:abstractNumId w:val="4"/>
  </w:num>
  <w:num w:numId="180">
    <w:abstractNumId w:val="4"/>
  </w:num>
  <w:num w:numId="181">
    <w:abstractNumId w:val="4"/>
  </w:num>
  <w:num w:numId="182">
    <w:abstractNumId w:val="4"/>
  </w:num>
  <w:num w:numId="183">
    <w:abstractNumId w:val="4"/>
  </w:num>
  <w:num w:numId="184">
    <w:abstractNumId w:val="4"/>
  </w:num>
  <w:num w:numId="185">
    <w:abstractNumId w:val="4"/>
  </w:num>
  <w:num w:numId="186">
    <w:abstractNumId w:val="4"/>
  </w:num>
  <w:num w:numId="187">
    <w:abstractNumId w:val="4"/>
  </w:num>
  <w:num w:numId="188">
    <w:abstractNumId w:val="4"/>
  </w:num>
  <w:num w:numId="189">
    <w:abstractNumId w:val="4"/>
  </w:num>
  <w:num w:numId="190">
    <w:abstractNumId w:val="4"/>
  </w:num>
  <w:num w:numId="191">
    <w:abstractNumId w:val="4"/>
  </w:num>
  <w:num w:numId="192">
    <w:abstractNumId w:val="4"/>
  </w:num>
  <w:num w:numId="193">
    <w:abstractNumId w:val="4"/>
  </w:num>
  <w:num w:numId="194">
    <w:abstractNumId w:val="4"/>
  </w:num>
  <w:num w:numId="195">
    <w:abstractNumId w:val="4"/>
  </w:num>
  <w:num w:numId="196">
    <w:abstractNumId w:val="4"/>
  </w:num>
  <w:num w:numId="197">
    <w:abstractNumId w:val="4"/>
  </w:num>
  <w:num w:numId="198">
    <w:abstractNumId w:val="4"/>
  </w:num>
  <w:num w:numId="199">
    <w:abstractNumId w:val="4"/>
  </w:num>
  <w:num w:numId="200">
    <w:abstractNumId w:val="4"/>
  </w:num>
  <w:num w:numId="201">
    <w:abstractNumId w:val="4"/>
  </w:num>
  <w:num w:numId="202">
    <w:abstractNumId w:val="4"/>
  </w:num>
  <w:num w:numId="203">
    <w:abstractNumId w:val="4"/>
  </w:num>
  <w:num w:numId="204">
    <w:abstractNumId w:val="4"/>
  </w:num>
  <w:num w:numId="205">
    <w:abstractNumId w:val="4"/>
  </w:num>
  <w:num w:numId="206">
    <w:abstractNumId w:val="4"/>
  </w:num>
  <w:num w:numId="207">
    <w:abstractNumId w:val="4"/>
  </w:num>
  <w:num w:numId="208">
    <w:abstractNumId w:val="4"/>
  </w:num>
  <w:num w:numId="209">
    <w:abstractNumId w:val="4"/>
  </w:num>
  <w:num w:numId="210">
    <w:abstractNumId w:val="4"/>
  </w:num>
  <w:num w:numId="211">
    <w:abstractNumId w:val="4"/>
  </w:num>
  <w:num w:numId="212">
    <w:abstractNumId w:val="4"/>
  </w:num>
  <w:num w:numId="213">
    <w:abstractNumId w:val="4"/>
  </w:num>
  <w:num w:numId="214">
    <w:abstractNumId w:val="4"/>
  </w:num>
  <w:num w:numId="215">
    <w:abstractNumId w:val="4"/>
  </w:num>
  <w:num w:numId="216">
    <w:abstractNumId w:val="4"/>
  </w:num>
  <w:num w:numId="217">
    <w:abstractNumId w:val="4"/>
  </w:num>
  <w:num w:numId="218">
    <w:abstractNumId w:val="4"/>
  </w:num>
  <w:num w:numId="219">
    <w:abstractNumId w:val="4"/>
  </w:num>
  <w:num w:numId="220">
    <w:abstractNumId w:val="4"/>
  </w:num>
  <w:num w:numId="221">
    <w:abstractNumId w:val="4"/>
  </w:num>
  <w:num w:numId="222">
    <w:abstractNumId w:val="4"/>
  </w:num>
  <w:num w:numId="223">
    <w:abstractNumId w:val="4"/>
  </w:num>
  <w:num w:numId="224">
    <w:abstractNumId w:val="4"/>
  </w:num>
  <w:num w:numId="225">
    <w:abstractNumId w:val="4"/>
  </w:num>
  <w:num w:numId="226">
    <w:abstractNumId w:val="4"/>
  </w:num>
  <w:num w:numId="227">
    <w:abstractNumId w:val="4"/>
  </w:num>
  <w:num w:numId="228">
    <w:abstractNumId w:val="4"/>
  </w:num>
  <w:num w:numId="229">
    <w:abstractNumId w:val="4"/>
  </w:num>
  <w:num w:numId="230">
    <w:abstractNumId w:val="4"/>
  </w:num>
  <w:num w:numId="231">
    <w:abstractNumId w:val="4"/>
  </w:num>
  <w:num w:numId="232">
    <w:abstractNumId w:val="4"/>
  </w:num>
  <w:num w:numId="233">
    <w:abstractNumId w:val="4"/>
  </w:num>
  <w:num w:numId="234">
    <w:abstractNumId w:val="4"/>
  </w:num>
  <w:num w:numId="235">
    <w:abstractNumId w:val="4"/>
  </w:num>
  <w:num w:numId="236">
    <w:abstractNumId w:val="4"/>
  </w:num>
  <w:num w:numId="237">
    <w:abstractNumId w:val="4"/>
  </w:num>
  <w:num w:numId="238">
    <w:abstractNumId w:val="4"/>
  </w:num>
  <w:num w:numId="239">
    <w:abstractNumId w:val="4"/>
  </w:num>
  <w:num w:numId="240">
    <w:abstractNumId w:val="4"/>
  </w:num>
  <w:num w:numId="241">
    <w:abstractNumId w:val="4"/>
  </w:num>
  <w:num w:numId="242">
    <w:abstractNumId w:val="4"/>
  </w:num>
  <w:num w:numId="243">
    <w:abstractNumId w:val="4"/>
  </w:num>
  <w:num w:numId="244">
    <w:abstractNumId w:val="4"/>
  </w:num>
  <w:num w:numId="245">
    <w:abstractNumId w:val="4"/>
  </w:num>
  <w:num w:numId="246">
    <w:abstractNumId w:val="4"/>
  </w:num>
  <w:num w:numId="247">
    <w:abstractNumId w:val="4"/>
  </w:num>
  <w:num w:numId="248">
    <w:abstractNumId w:val="4"/>
  </w:num>
  <w:num w:numId="249">
    <w:abstractNumId w:val="4"/>
  </w:num>
  <w:num w:numId="250">
    <w:abstractNumId w:val="4"/>
  </w:num>
  <w:num w:numId="251">
    <w:abstractNumId w:val="4"/>
  </w:num>
  <w:num w:numId="252">
    <w:abstractNumId w:val="4"/>
  </w:num>
  <w:num w:numId="253">
    <w:abstractNumId w:val="4"/>
  </w:num>
  <w:num w:numId="254">
    <w:abstractNumId w:val="4"/>
  </w:num>
  <w:num w:numId="255">
    <w:abstractNumId w:val="4"/>
  </w:num>
  <w:num w:numId="256">
    <w:abstractNumId w:val="4"/>
  </w:num>
  <w:num w:numId="257">
    <w:abstractNumId w:val="4"/>
  </w:num>
  <w:num w:numId="258">
    <w:abstractNumId w:val="4"/>
  </w:num>
  <w:num w:numId="259">
    <w:abstractNumId w:val="4"/>
  </w:num>
  <w:num w:numId="260">
    <w:abstractNumId w:val="4"/>
  </w:num>
  <w:num w:numId="261">
    <w:abstractNumId w:val="4"/>
  </w:num>
  <w:num w:numId="262">
    <w:abstractNumId w:val="4"/>
  </w:num>
  <w:num w:numId="263">
    <w:abstractNumId w:val="4"/>
  </w:num>
  <w:num w:numId="264">
    <w:abstractNumId w:val="4"/>
  </w:num>
  <w:num w:numId="265">
    <w:abstractNumId w:val="4"/>
  </w:num>
  <w:num w:numId="266">
    <w:abstractNumId w:val="4"/>
  </w:num>
  <w:num w:numId="267">
    <w:abstractNumId w:val="4"/>
  </w:num>
  <w:num w:numId="268">
    <w:abstractNumId w:val="4"/>
  </w:num>
  <w:num w:numId="269">
    <w:abstractNumId w:val="4"/>
  </w:num>
  <w:num w:numId="270">
    <w:abstractNumId w:val="4"/>
  </w:num>
  <w:num w:numId="271">
    <w:abstractNumId w:val="4"/>
  </w:num>
  <w:num w:numId="272">
    <w:abstractNumId w:val="4"/>
  </w:num>
  <w:num w:numId="273">
    <w:abstractNumId w:val="4"/>
  </w:num>
  <w:num w:numId="274">
    <w:abstractNumId w:val="4"/>
  </w:num>
  <w:num w:numId="275">
    <w:abstractNumId w:val="4"/>
  </w:num>
  <w:num w:numId="276">
    <w:abstractNumId w:val="4"/>
  </w:num>
  <w:num w:numId="277">
    <w:abstractNumId w:val="4"/>
  </w:num>
  <w:num w:numId="278">
    <w:abstractNumId w:val="4"/>
  </w:num>
  <w:num w:numId="279">
    <w:abstractNumId w:val="4"/>
  </w:num>
  <w:num w:numId="280">
    <w:abstractNumId w:val="4"/>
  </w:num>
  <w:num w:numId="281">
    <w:abstractNumId w:val="4"/>
  </w:num>
  <w:num w:numId="282">
    <w:abstractNumId w:val="4"/>
  </w:num>
  <w:num w:numId="283">
    <w:abstractNumId w:val="4"/>
  </w:num>
  <w:num w:numId="284">
    <w:abstractNumId w:val="4"/>
  </w:num>
  <w:num w:numId="285">
    <w:abstractNumId w:val="4"/>
  </w:num>
  <w:num w:numId="286">
    <w:abstractNumId w:val="4"/>
  </w:num>
  <w:num w:numId="287">
    <w:abstractNumId w:val="4"/>
  </w:num>
  <w:num w:numId="288">
    <w:abstractNumId w:val="4"/>
  </w:num>
  <w:num w:numId="289">
    <w:abstractNumId w:val="4"/>
  </w:num>
  <w:num w:numId="290">
    <w:abstractNumId w:val="4"/>
  </w:num>
  <w:num w:numId="291">
    <w:abstractNumId w:val="4"/>
  </w:num>
  <w:num w:numId="292">
    <w:abstractNumId w:val="4"/>
  </w:num>
</w:numbering>
</file>

<file path=word/settings.xml><?xml version="1.0" encoding="utf-8"?>
<w:settings xmlns:w="http://schemas.openxmlformats.org/wordprocessingml/2006/main">
  <w:zoom w:percent="110"/>
  <w:mirrorMargins/>
  <w:defaultTabStop w:val="408"/>
  <w:autoHyphenation w:val="true"/>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 w:cs="Times New Roman" w:eastAsiaTheme="minorEastAsia"/>
        <w:lang w:val="pt-BR" w:eastAsia="en-US" w:bidi="ar-SA"/>
      </w:rPr>
    </w:rPrDefault>
    <w:pPrDefault>
      <w:pPr>
        <w:suppressAutoHyphens w:val="true"/>
      </w:pPr>
    </w:pPrDefault>
  </w:docDefaults>
  <w:latentStyles w:defLockedState="0" w:defUIPriority="0" w:defSemiHidden="0" w:defUnhideWhenUsed="0" w:defQFormat="0" w:count="376">
    <w:lsdException w:name="heading 1" w:uiPriority="9"/>
    <w:lsdException w:name="heading 3" w:uiPriority="9" w:semiHidden="1" w:unhideWhenUsed="1" w:qFormat="1"/>
    <w:lsdException w:name="heading 4" w:semiHidden="1" w:unhideWhenUsed="1" w:qFormat="1"/>
    <w:lsdException w:name="heading 5" w:semiHidden="1" w:unhideWhenUsed="1" w:qFormat="1"/>
    <w:lsdException w:name="heading 6" w:uiPriority="9"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uiPriority="99" w:semiHidden="1" w:unhideWhenUsed="1"/>
    <w:lsdException w:name="header" w:uiPriority="99" w:semiHidden="1" w:unhideWhenUsed="1"/>
    <w:lsdException w:name="footer" w:uiPriority="99"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uiPriority="1" w:semiHidden="1" w:unhideWhenUsed="1"/>
    <w:lsdException w:name="Body Text" w:uiPriority="99"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uiPriority="99"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99"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iPriority="99" w:semiHidden="1" w:unhideWhenUsed="1"/>
    <w:lsdException w:name="No List" w:uiPriority="99"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semiHidden="1" w:unhideWhenUsed="1"/>
    <w:lsdException w:name="Table Grid" w:uiPriority="39"/>
    <w:lsdException w:name="Table Theme" w:semiHidden="1" w:unhideWhenUsed="1"/>
    <w:lsdException w:name="Placeholder Text" w:uiPriority="67" w:semiHidden="1"/>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99" w:semiHidden="1"/>
    <w:lsdException w:name="List Paragraph" w:uiPriority="34"/>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sid w:val="00ea3333"/>
    <w:pPr>
      <w:widowControl/>
      <w:suppressAutoHyphens w:val="true"/>
      <w:bidi w:val="0"/>
      <w:spacing w:before="0" w:after="0"/>
      <w:jc w:val="left"/>
    </w:pPr>
    <w:rPr>
      <w:rFonts w:ascii="Ecofont_Spranq_eco_Sans" w:hAnsi="Ecofont_Spranq_eco_Sans" w:eastAsia="" w:cs="Tahoma" w:eastAsiaTheme="minorEastAsia"/>
      <w:color w:val="auto"/>
      <w:kern w:val="0"/>
      <w:sz w:val="24"/>
      <w:szCs w:val="24"/>
      <w:lang w:val="pt-BR" w:eastAsia="pt-BR" w:bidi="ar-SA"/>
    </w:rPr>
  </w:style>
  <w:style w:type="paragraph" w:styleId="Ttulo1">
    <w:name w:val="Heading 1"/>
    <w:basedOn w:val="Normal"/>
    <w:next w:val="Normal"/>
    <w:link w:val="Ttulo1Char"/>
    <w:uiPriority w:val="9"/>
    <w:qFormat/>
    <w:rsid w:val="007f77ad"/>
    <w:pPr>
      <w:keepNext w:val="true"/>
      <w:keepLines/>
      <w:spacing w:before="480" w:after="0"/>
      <w:outlineLvl w:val="0"/>
    </w:pPr>
    <w:rPr>
      <w:rFonts w:ascii="Calibri" w:hAnsi="Calibri" w:eastAsia="" w:cs="" w:asciiTheme="majorHAnsi" w:cstheme="majorBidi" w:eastAsiaTheme="majorEastAsia" w:hAnsiTheme="majorHAnsi"/>
      <w:b/>
      <w:bCs/>
      <w:color w:val="365F91" w:themeColor="accent1" w:themeShade="bf"/>
      <w:sz w:val="28"/>
      <w:szCs w:val="28"/>
    </w:rPr>
  </w:style>
  <w:style w:type="paragraph" w:styleId="Ttulo2">
    <w:name w:val="Heading 2"/>
    <w:basedOn w:val="Normal"/>
    <w:next w:val="Normal"/>
    <w:link w:val="Ttulo2Char"/>
    <w:qFormat/>
    <w:rsid w:val="004b460a"/>
    <w:pPr>
      <w:keepNext w:val="true"/>
      <w:tabs>
        <w:tab w:val="clear" w:pos="408"/>
        <w:tab w:val="left" w:pos="1701" w:leader="none"/>
      </w:tabs>
      <w:ind w:right="-1" w:hanging="0"/>
      <w:jc w:val="center"/>
      <w:outlineLvl w:val="1"/>
    </w:pPr>
    <w:rPr>
      <w:rFonts w:ascii="Times New Roman" w:hAnsi="Times New Roman" w:cs="Times New Roman"/>
      <w:b/>
      <w:color w:val="000000"/>
      <w:szCs w:val="20"/>
    </w:rPr>
  </w:style>
  <w:style w:type="paragraph" w:styleId="Ttulo3">
    <w:name w:val="Heading 3"/>
    <w:basedOn w:val="Normal"/>
    <w:next w:val="Normal"/>
    <w:link w:val="Ttulo3Char"/>
    <w:uiPriority w:val="9"/>
    <w:semiHidden/>
    <w:unhideWhenUsed/>
    <w:qFormat/>
    <w:rsid w:val="00cb3192"/>
    <w:pPr>
      <w:keepNext w:val="true"/>
      <w:keepLines/>
      <w:spacing w:lineRule="auto" w:line="259" w:before="40" w:after="0"/>
      <w:outlineLvl w:val="2"/>
    </w:pPr>
    <w:rPr>
      <w:rFonts w:ascii="Calibri" w:hAnsi="Calibri" w:eastAsia="" w:cs="" w:asciiTheme="majorHAnsi" w:cstheme="majorBidi" w:eastAsiaTheme="majorEastAsia" w:hAnsiTheme="majorHAnsi"/>
      <w:color w:val="243F60" w:themeColor="accent1" w:themeShade="7f"/>
      <w:lang w:eastAsia="en-US"/>
    </w:rPr>
  </w:style>
  <w:style w:type="paragraph" w:styleId="Ttulo4">
    <w:name w:val="Heading 4"/>
    <w:basedOn w:val="Normal"/>
    <w:next w:val="Normal"/>
    <w:link w:val="Ttulo4Char"/>
    <w:semiHidden/>
    <w:unhideWhenUsed/>
    <w:qFormat/>
    <w:rsid w:val="00a45a85"/>
    <w:pPr>
      <w:keepNext w:val="true"/>
      <w:keepLines/>
      <w:spacing w:before="40" w:after="0"/>
      <w:outlineLvl w:val="3"/>
    </w:pPr>
    <w:rPr>
      <w:rFonts w:ascii="Calibri" w:hAnsi="Calibri" w:eastAsia="" w:cs="" w:asciiTheme="majorHAnsi" w:cstheme="majorBidi" w:eastAsiaTheme="majorEastAsia" w:hAnsiTheme="majorHAnsi"/>
      <w:i/>
      <w:iCs/>
      <w:color w:val="365F91" w:themeColor="accent1" w:themeShade="bf"/>
    </w:rPr>
  </w:style>
  <w:style w:type="paragraph" w:styleId="Ttulo6">
    <w:name w:val="Heading 6"/>
    <w:basedOn w:val="Normal"/>
    <w:next w:val="Normal"/>
    <w:link w:val="Ttulo6Char"/>
    <w:uiPriority w:val="9"/>
    <w:semiHidden/>
    <w:unhideWhenUsed/>
    <w:qFormat/>
    <w:rsid w:val="00cb3192"/>
    <w:pPr>
      <w:keepNext w:val="true"/>
      <w:keepLines/>
      <w:spacing w:lineRule="auto" w:line="259" w:before="40" w:after="0"/>
      <w:outlineLvl w:val="5"/>
    </w:pPr>
    <w:rPr>
      <w:rFonts w:ascii="Calibri" w:hAnsi="Calibri" w:eastAsia="" w:cs="" w:asciiTheme="majorHAnsi" w:cstheme="majorBidi" w:eastAsiaTheme="majorEastAsia" w:hAnsiTheme="majorHAnsi"/>
      <w:color w:val="243F60" w:themeColor="accent1" w:themeShade="7f"/>
      <w:sz w:val="22"/>
      <w:szCs w:val="22"/>
      <w:lang w:eastAsia="en-US"/>
    </w:rPr>
  </w:style>
  <w:style w:type="character" w:styleId="DefaultParagraphFont" w:default="1">
    <w:name w:val="Default Paragraph Font"/>
    <w:uiPriority w:val="1"/>
    <w:semiHidden/>
    <w:unhideWhenUsed/>
    <w:qFormat/>
    <w:rPr/>
  </w:style>
  <w:style w:type="character" w:styleId="TextodebaloChar" w:customStyle="1">
    <w:name w:val="Texto de balão Char"/>
    <w:link w:val="Textodebalo"/>
    <w:uiPriority w:val="99"/>
    <w:qFormat/>
    <w:rsid w:val="003a73c1"/>
    <w:rPr>
      <w:rFonts w:ascii="Tahoma" w:hAnsi="Tahoma" w:cs="Tahoma"/>
      <w:sz w:val="16"/>
      <w:szCs w:val="16"/>
    </w:rPr>
  </w:style>
  <w:style w:type="character" w:styleId="Ttulo2Char" w:customStyle="1">
    <w:name w:val="Título 2 Char"/>
    <w:link w:val="Ttulo2"/>
    <w:qFormat/>
    <w:rsid w:val="004b460a"/>
    <w:rPr>
      <w:b/>
      <w:color w:val="000000"/>
      <w:sz w:val="24"/>
    </w:rPr>
  </w:style>
  <w:style w:type="character" w:styleId="Normalchar1" w:customStyle="1">
    <w:name w:val="normal__char1"/>
    <w:qFormat/>
    <w:rsid w:val="008d51cc"/>
    <w:rPr>
      <w:rFonts w:ascii="Arial" w:hAnsi="Arial" w:cs="Arial"/>
      <w:strike w:val="false"/>
      <w:dstrike w:val="false"/>
      <w:sz w:val="24"/>
      <w:szCs w:val="24"/>
      <w:u w:val="none"/>
      <w:effect w:val="none"/>
    </w:rPr>
  </w:style>
  <w:style w:type="character" w:styleId="Applestylespan" w:customStyle="1">
    <w:name w:val="apple-style-span"/>
    <w:basedOn w:val="DefaultParagraphFont"/>
    <w:qFormat/>
    <w:rsid w:val="00260802"/>
    <w:rPr/>
  </w:style>
  <w:style w:type="character" w:styleId="LinkdaInternet" w:customStyle="1">
    <w:name w:val="Link da Internet"/>
    <w:basedOn w:val="DefaultParagraphFont"/>
    <w:uiPriority w:val="99"/>
    <w:unhideWhenUsed/>
    <w:rsid w:val="00dc41dd"/>
    <w:rPr>
      <w:color w:val="0000FF" w:themeColor="hyperlink"/>
      <w:u w:val="single"/>
    </w:rPr>
  </w:style>
  <w:style w:type="character" w:styleId="CitaoChar" w:customStyle="1">
    <w:name w:val="Citação Char"/>
    <w:link w:val="Citao"/>
    <w:qFormat/>
    <w:rsid w:val="00080b53"/>
    <w:rPr>
      <w:rFonts w:ascii="Arial" w:hAnsi="Arial" w:eastAsia="Calibri" w:cs="Tahoma"/>
      <w:i/>
      <w:iCs/>
      <w:color w:val="000000"/>
      <w:szCs w:val="24"/>
      <w:shd w:fill="FFFFCC" w:val="clear"/>
    </w:rPr>
  </w:style>
  <w:style w:type="character" w:styleId="NotaexplicativaChar" w:customStyle="1">
    <w:name w:val="Nota explicativa Char"/>
    <w:basedOn w:val="CitaoChar"/>
    <w:link w:val="Notaexplicativa"/>
    <w:qFormat/>
    <w:rsid w:val="00265fb6"/>
    <w:rPr>
      <w:rFonts w:ascii="Arial" w:hAnsi="Arial" w:eastAsia="Calibri" w:cs="Tahoma"/>
      <w:i/>
      <w:iCs/>
      <w:color w:val="000000"/>
      <w:szCs w:val="24"/>
      <w:shd w:fill="FFFFCC" w:val="clear"/>
    </w:rPr>
  </w:style>
  <w:style w:type="character" w:styleId="CabealhoChar" w:customStyle="1">
    <w:name w:val="Cabeçalho Char"/>
    <w:link w:val="Cabealho"/>
    <w:uiPriority w:val="99"/>
    <w:qFormat/>
    <w:rsid w:val="00ca24fb"/>
    <w:rPr>
      <w:rFonts w:ascii="Ecofont_Spranq_eco_Sans" w:hAnsi="Ecofont_Spranq_eco_Sans" w:cs="Tahoma"/>
      <w:sz w:val="24"/>
      <w:szCs w:val="24"/>
    </w:rPr>
  </w:style>
  <w:style w:type="character" w:styleId="RodapChar" w:customStyle="1">
    <w:name w:val="Rodapé Char"/>
    <w:link w:val="Rodap"/>
    <w:uiPriority w:val="99"/>
    <w:qFormat/>
    <w:rsid w:val="00ca24fb"/>
    <w:rPr>
      <w:rFonts w:ascii="Ecofont_Spranq_eco_Sans" w:hAnsi="Ecofont_Spranq_eco_Sans" w:cs="Tahoma"/>
      <w:sz w:val="24"/>
      <w:szCs w:val="24"/>
    </w:rPr>
  </w:style>
  <w:style w:type="character" w:styleId="Annotationreference">
    <w:name w:val="annotation reference"/>
    <w:basedOn w:val="DefaultParagraphFont"/>
    <w:unhideWhenUsed/>
    <w:qFormat/>
    <w:rsid w:val="00430fdb"/>
    <w:rPr>
      <w:sz w:val="16"/>
      <w:szCs w:val="16"/>
    </w:rPr>
  </w:style>
  <w:style w:type="character" w:styleId="TextodecomentrioChar" w:customStyle="1">
    <w:name w:val="Texto de comentário Char"/>
    <w:basedOn w:val="DefaultParagraphFont"/>
    <w:link w:val="Textodecomentrio"/>
    <w:uiPriority w:val="99"/>
    <w:qFormat/>
    <w:rsid w:val="00430fdb"/>
    <w:rPr>
      <w:rFonts w:ascii="Ecofont_Spranq_eco_Sans" w:hAnsi="Ecofont_Spranq_eco_Sans" w:cs="Tahoma"/>
      <w:lang w:eastAsia="pt-BR"/>
    </w:rPr>
  </w:style>
  <w:style w:type="character" w:styleId="AssuntodocomentrioChar" w:customStyle="1">
    <w:name w:val="Assunto do comentário Char"/>
    <w:basedOn w:val="TextodecomentrioChar"/>
    <w:link w:val="Assuntodocomentrio"/>
    <w:uiPriority w:val="99"/>
    <w:semiHidden/>
    <w:qFormat/>
    <w:rsid w:val="00430fdb"/>
    <w:rPr>
      <w:rFonts w:ascii="Ecofont_Spranq_eco_Sans" w:hAnsi="Ecofont_Spranq_eco_Sans" w:cs="Tahoma"/>
      <w:b/>
      <w:bCs/>
      <w:lang w:eastAsia="pt-BR"/>
    </w:rPr>
  </w:style>
  <w:style w:type="character" w:styleId="Ttulo4Char" w:customStyle="1">
    <w:name w:val="Título 4 Char"/>
    <w:basedOn w:val="DefaultParagraphFont"/>
    <w:link w:val="Ttulo4"/>
    <w:qFormat/>
    <w:rsid w:val="00a45a85"/>
    <w:rPr>
      <w:rFonts w:ascii="Calibri" w:hAnsi="Calibri" w:eastAsia="" w:cs="" w:asciiTheme="majorHAnsi" w:cstheme="majorBidi" w:eastAsiaTheme="majorEastAsia" w:hAnsiTheme="majorHAnsi"/>
      <w:i/>
      <w:iCs/>
      <w:color w:val="365F91" w:themeColor="accent1" w:themeShade="bf"/>
      <w:sz w:val="24"/>
      <w:szCs w:val="24"/>
      <w:lang w:eastAsia="pt-BR"/>
    </w:rPr>
  </w:style>
  <w:style w:type="character" w:styleId="TtuloChar" w:customStyle="1">
    <w:name w:val="Título Char"/>
    <w:basedOn w:val="DefaultParagraphFont"/>
    <w:link w:val="Ttulo"/>
    <w:qFormat/>
    <w:rsid w:val="007f77ad"/>
    <w:rPr>
      <w:rFonts w:ascii="Calibri" w:hAnsi="Calibri" w:eastAsia="" w:cs="" w:asciiTheme="majorHAnsi" w:cstheme="majorBidi" w:eastAsiaTheme="majorEastAsia" w:hAnsiTheme="majorHAnsi"/>
      <w:color w:val="17365D" w:themeColor="text2" w:themeShade="bf"/>
      <w:spacing w:val="5"/>
      <w:kern w:val="2"/>
      <w:sz w:val="52"/>
      <w:szCs w:val="52"/>
      <w:lang w:eastAsia="pt-BR"/>
    </w:rPr>
  </w:style>
  <w:style w:type="character" w:styleId="Nivel01Char" w:customStyle="1">
    <w:name w:val="Nivel 01 Char"/>
    <w:basedOn w:val="TtuloChar"/>
    <w:link w:val="Nivel01"/>
    <w:qFormat/>
    <w:rsid w:val="00881f44"/>
    <w:rPr>
      <w:rFonts w:ascii="Arial" w:hAnsi="Arial" w:eastAsia="" w:cs="Arial" w:eastAsiaTheme="majorEastAsia"/>
      <w:b/>
      <w:bCs/>
      <w:color w:val="17365D" w:themeColor="text2" w:themeShade="bf"/>
      <w:spacing w:val="5"/>
      <w:kern w:val="2"/>
      <w:sz w:val="52"/>
      <w:szCs w:val="52"/>
      <w:lang w:eastAsia="pt-BR"/>
    </w:rPr>
  </w:style>
  <w:style w:type="character" w:styleId="Ttulo1Char" w:customStyle="1">
    <w:name w:val="Título 1 Char"/>
    <w:basedOn w:val="DefaultParagraphFont"/>
    <w:link w:val="Ttulo1"/>
    <w:uiPriority w:val="9"/>
    <w:qFormat/>
    <w:rsid w:val="007f77ad"/>
    <w:rPr>
      <w:rFonts w:ascii="Calibri" w:hAnsi="Calibri" w:eastAsia="" w:cs="" w:asciiTheme="majorHAnsi" w:cstheme="majorBidi" w:eastAsiaTheme="majorEastAsia" w:hAnsiTheme="majorHAnsi"/>
      <w:b/>
      <w:bCs/>
      <w:color w:val="365F91" w:themeColor="accent1" w:themeShade="bf"/>
      <w:sz w:val="28"/>
      <w:szCs w:val="28"/>
      <w:lang w:eastAsia="pt-BR"/>
    </w:rPr>
  </w:style>
  <w:style w:type="character" w:styleId="Nivel01TituloChar" w:customStyle="1">
    <w:name w:val="Nivel_01_Titulo Char"/>
    <w:basedOn w:val="Nivel01Char"/>
    <w:link w:val="Nivel01Titulo"/>
    <w:qFormat/>
    <w:rsid w:val="00e967ea"/>
    <w:rPr>
      <w:rFonts w:ascii="Arial" w:hAnsi="Arial" w:eastAsia="" w:cs="" w:cstheme="majorBidi" w:eastAsiaTheme="majorEastAsia"/>
      <w:b/>
      <w:bCs/>
      <w:color w:val="000000" w:themeColor="text1"/>
      <w:spacing w:val="5"/>
      <w:kern w:val="2"/>
      <w:sz w:val="52"/>
      <w:szCs w:val="52"/>
      <w:lang w:eastAsia="pt-BR"/>
    </w:rPr>
  </w:style>
  <w:style w:type="character" w:styleId="QuoteChar" w:customStyle="1">
    <w:name w:val="Quote Char"/>
    <w:basedOn w:val="DefaultParagraphFont"/>
    <w:link w:val="Citao1"/>
    <w:qFormat/>
    <w:rsid w:val="00b77761"/>
    <w:rPr>
      <w:rFonts w:ascii="Ecofont_Spranq_eco_Sans" w:hAnsi="Ecofont_Spranq_eco_Sans" w:eastAsia="Calibri" w:cs="Tahoma"/>
      <w:i/>
      <w:iCs/>
      <w:color w:val="000000"/>
      <w:shd w:fill="FFFFCC" w:val="clear"/>
    </w:rPr>
  </w:style>
  <w:style w:type="character" w:styleId="Normaltextrun" w:customStyle="1">
    <w:name w:val="normaltextrun"/>
    <w:basedOn w:val="DefaultParagraphFont"/>
    <w:qFormat/>
    <w:rsid w:val="0053119e"/>
    <w:rPr/>
  </w:style>
  <w:style w:type="character" w:styleId="Eop" w:customStyle="1">
    <w:name w:val="eop"/>
    <w:basedOn w:val="DefaultParagraphFont"/>
    <w:qFormat/>
    <w:rsid w:val="0053119e"/>
    <w:rPr/>
  </w:style>
  <w:style w:type="character" w:styleId="Spellingerror" w:customStyle="1">
    <w:name w:val="spellingerror"/>
    <w:basedOn w:val="DefaultParagraphFont"/>
    <w:qFormat/>
    <w:rsid w:val="0053119e"/>
    <w:rPr/>
  </w:style>
  <w:style w:type="character" w:styleId="CorpodetextoChar" w:customStyle="1">
    <w:name w:val="Corpo de texto Char"/>
    <w:basedOn w:val="DefaultParagraphFont"/>
    <w:link w:val="Corpodetexto"/>
    <w:uiPriority w:val="99"/>
    <w:qFormat/>
    <w:rsid w:val="00405763"/>
    <w:rPr>
      <w:rFonts w:eastAsia="Times New Roman"/>
      <w:sz w:val="24"/>
      <w:szCs w:val="24"/>
      <w:lang w:eastAsia="pt-BR"/>
    </w:rPr>
  </w:style>
  <w:style w:type="character" w:styleId="Nivel1Char" w:customStyle="1">
    <w:name w:val="Nivel1 Char"/>
    <w:basedOn w:val="Ttulo1Char"/>
    <w:link w:val="Nivel1"/>
    <w:qFormat/>
    <w:rsid w:val="001b6423"/>
    <w:rPr>
      <w:rFonts w:ascii="Arial" w:hAnsi="Arial" w:eastAsia="" w:cs="Arial" w:eastAsiaTheme="majorEastAsia"/>
      <w:b/>
      <w:bCs w:val="false"/>
      <w:color w:val="000000"/>
      <w:sz w:val="28"/>
      <w:szCs w:val="28"/>
      <w:lang w:eastAsia="pt-BR"/>
    </w:rPr>
  </w:style>
  <w:style w:type="character" w:styleId="Nivel4Char" w:customStyle="1">
    <w:name w:val="Nivel 4 Char"/>
    <w:basedOn w:val="DefaultParagraphFont"/>
    <w:link w:val="Nivel4"/>
    <w:qFormat/>
    <w:rsid w:val="00da3ef1"/>
    <w:rPr>
      <w:rFonts w:ascii="Arial" w:hAnsi="Arial" w:cs="Arial"/>
      <w:lang w:eastAsia="pt-BR"/>
    </w:rPr>
  </w:style>
  <w:style w:type="character" w:styleId="Cp0020corpodespachochar1" w:customStyle="1">
    <w:name w:val="cp_0020corpodespacho__char1"/>
    <w:qFormat/>
    <w:rsid w:val="00d30a43"/>
    <w:rPr>
      <w:rFonts w:ascii="Times New Roman" w:hAnsi="Times New Roman" w:cs="Times New Roman"/>
      <w:strike w:val="false"/>
      <w:dstrike w:val="false"/>
      <w:sz w:val="26"/>
      <w:szCs w:val="26"/>
      <w:u w:val="none"/>
      <w:effect w:val="none"/>
    </w:rPr>
  </w:style>
  <w:style w:type="character" w:styleId="Em0020ementachar1" w:customStyle="1">
    <w:name w:val="em_0020ementa__char1"/>
    <w:qFormat/>
    <w:rsid w:val="00d30a43"/>
    <w:rPr>
      <w:rFonts w:ascii="Times New Roman" w:hAnsi="Times New Roman" w:cs="Times New Roman"/>
      <w:strike w:val="false"/>
      <w:dstrike w:val="false"/>
      <w:sz w:val="28"/>
      <w:szCs w:val="28"/>
      <w:u w:val="none"/>
      <w:effect w:val="none"/>
    </w:rPr>
  </w:style>
  <w:style w:type="character" w:styleId="Strong">
    <w:name w:val="Strong"/>
    <w:basedOn w:val="DefaultParagraphFont"/>
    <w:uiPriority w:val="22"/>
    <w:qFormat/>
    <w:rsid w:val="00d30a43"/>
    <w:rPr>
      <w:b/>
      <w:bCs/>
    </w:rPr>
  </w:style>
  <w:style w:type="character" w:styleId="Nfase">
    <w:name w:val="Ênfase"/>
    <w:basedOn w:val="DefaultParagraphFont"/>
    <w:uiPriority w:val="20"/>
    <w:qFormat/>
    <w:rsid w:val="00d30a43"/>
    <w:rPr>
      <w:i/>
      <w:iCs/>
    </w:rPr>
  </w:style>
  <w:style w:type="character" w:styleId="Manoel" w:customStyle="1">
    <w:name w:val="Manoel"/>
    <w:qFormat/>
    <w:rsid w:val="00d30a43"/>
    <w:rPr>
      <w:rFonts w:ascii="Arial" w:hAnsi="Arial" w:cs="Arial"/>
      <w:color w:val="7030A0"/>
      <w:sz w:val="20"/>
    </w:rPr>
  </w:style>
  <w:style w:type="character" w:styleId="GradeColoridanfase1Char" w:customStyle="1">
    <w:name w:val="Grade Colorida - Ênfase 1 Char"/>
    <w:link w:val="GradeColorida-nfase11"/>
    <w:uiPriority w:val="29"/>
    <w:qFormat/>
    <w:rsid w:val="00d30a43"/>
    <w:rPr>
      <w:rFonts w:ascii="Arial" w:hAnsi="Arial" w:eastAsia="Calibri"/>
      <w:i/>
      <w:iCs/>
      <w:color w:val="000000"/>
      <w:szCs w:val="24"/>
      <w:shd w:fill="FFFFCC" w:val="clear"/>
    </w:rPr>
  </w:style>
  <w:style w:type="character" w:styleId="Highlight" w:customStyle="1">
    <w:name w:val="highlight"/>
    <w:basedOn w:val="DefaultParagraphFont"/>
    <w:qFormat/>
    <w:rsid w:val="00d30a43"/>
    <w:rPr/>
  </w:style>
  <w:style w:type="character" w:styleId="Linkdainternetvisitado">
    <w:name w:val="Link da internet visitado"/>
    <w:basedOn w:val="DefaultParagraphFont"/>
    <w:uiPriority w:val="99"/>
    <w:semiHidden/>
    <w:unhideWhenUsed/>
    <w:rsid w:val="00d30a43"/>
    <w:rPr>
      <w:color w:val="800080" w:themeColor="followedHyperlink"/>
      <w:u w:val="single"/>
    </w:rPr>
  </w:style>
  <w:style w:type="character" w:styleId="MenoPendente1" w:customStyle="1">
    <w:name w:val="Menção Pendente1"/>
    <w:basedOn w:val="DefaultParagraphFont"/>
    <w:uiPriority w:val="99"/>
    <w:semiHidden/>
    <w:unhideWhenUsed/>
    <w:qFormat/>
    <w:rsid w:val="00d30a43"/>
    <w:rPr>
      <w:color w:val="605E5C"/>
      <w:shd w:fill="E1DFDD" w:val="clear"/>
    </w:rPr>
  </w:style>
  <w:style w:type="character" w:styleId="MenoPendente2" w:customStyle="1">
    <w:name w:val="Menção Pendente2"/>
    <w:basedOn w:val="DefaultParagraphFont"/>
    <w:uiPriority w:val="99"/>
    <w:semiHidden/>
    <w:unhideWhenUsed/>
    <w:qFormat/>
    <w:rsid w:val="0063029c"/>
    <w:rPr>
      <w:color w:val="605E5C"/>
      <w:shd w:fill="E1DFDD" w:val="clear"/>
    </w:rPr>
  </w:style>
  <w:style w:type="character" w:styleId="Nivel2Char" w:customStyle="1">
    <w:name w:val="Nivel 2 Char"/>
    <w:basedOn w:val="DefaultParagraphFont"/>
    <w:link w:val="Nivel2"/>
    <w:qFormat/>
    <w:locked/>
    <w:rsid w:val="0084242c"/>
    <w:rPr>
      <w:rFonts w:ascii="Arial" w:hAnsi="Arial" w:eastAsia="Arial" w:cs="Arial"/>
      <w:color w:val="000000"/>
      <w:lang w:eastAsia="pt-BR"/>
    </w:rPr>
  </w:style>
  <w:style w:type="character" w:styleId="Nvel2OpcionalChar" w:customStyle="1">
    <w:name w:val="Nível 2 Opcional Char"/>
    <w:basedOn w:val="DefaultParagraphFont"/>
    <w:link w:val="Nvel2Opcional"/>
    <w:qFormat/>
    <w:rsid w:val="00a831d9"/>
    <w:rPr>
      <w:rFonts w:ascii="Arial" w:hAnsi="Arial" w:eastAsia="Times New Roman" w:cs="Arial"/>
      <w:i/>
      <w:color w:val="FF0000"/>
      <w:lang w:eastAsia="pt-BR"/>
    </w:rPr>
  </w:style>
  <w:style w:type="character" w:styleId="Nvel3OpcionalChar" w:customStyle="1">
    <w:name w:val="Nível 3 Opcional Char"/>
    <w:basedOn w:val="DefaultParagraphFont"/>
    <w:link w:val="Nvel3Opcional"/>
    <w:qFormat/>
    <w:rsid w:val="00a831d9"/>
    <w:rPr>
      <w:rFonts w:ascii="Arial" w:hAnsi="Arial" w:eastAsia="Times New Roman" w:cs="Arial"/>
      <w:i/>
      <w:iCs/>
      <w:color w:val="FF0000"/>
      <w:lang w:eastAsia="pt-BR"/>
    </w:rPr>
  </w:style>
  <w:style w:type="character" w:styleId="PlaceholderText">
    <w:name w:val="Placeholder Text"/>
    <w:basedOn w:val="DefaultParagraphFont"/>
    <w:uiPriority w:val="67"/>
    <w:semiHidden/>
    <w:qFormat/>
    <w:rsid w:val="0029332d"/>
    <w:rPr>
      <w:color w:val="808080"/>
    </w:rPr>
  </w:style>
  <w:style w:type="character" w:styleId="PargrafodaListaChar" w:customStyle="1">
    <w:name w:val="Parágrafo da Lista Char"/>
    <w:basedOn w:val="DefaultParagraphFont"/>
    <w:link w:val="PargrafodaLista"/>
    <w:uiPriority w:val="34"/>
    <w:qFormat/>
    <w:rsid w:val="002430f2"/>
    <w:rPr>
      <w:rFonts w:ascii="Ecofont_Spranq_eco_Sans" w:hAnsi="Ecofont_Spranq_eco_Sans" w:cs="Tahoma"/>
      <w:sz w:val="24"/>
      <w:szCs w:val="24"/>
      <w:lang w:eastAsia="pt-BR"/>
    </w:rPr>
  </w:style>
  <w:style w:type="character" w:styleId="Ttulo3Char" w:customStyle="1">
    <w:name w:val="Título 3 Char"/>
    <w:basedOn w:val="DefaultParagraphFont"/>
    <w:link w:val="Ttulo3"/>
    <w:uiPriority w:val="9"/>
    <w:semiHidden/>
    <w:qFormat/>
    <w:rsid w:val="00cb3192"/>
    <w:rPr>
      <w:rFonts w:ascii="Calibri" w:hAnsi="Calibri" w:eastAsia="" w:cs="" w:asciiTheme="majorHAnsi" w:cstheme="majorBidi" w:eastAsiaTheme="majorEastAsia" w:hAnsiTheme="majorHAnsi"/>
      <w:color w:val="243F60" w:themeColor="accent1" w:themeShade="7f"/>
      <w:sz w:val="24"/>
      <w:szCs w:val="24"/>
    </w:rPr>
  </w:style>
  <w:style w:type="character" w:styleId="Ttulo6Char" w:customStyle="1">
    <w:name w:val="Título 6 Char"/>
    <w:basedOn w:val="DefaultParagraphFont"/>
    <w:link w:val="Ttulo6"/>
    <w:uiPriority w:val="9"/>
    <w:semiHidden/>
    <w:qFormat/>
    <w:rsid w:val="00cb3192"/>
    <w:rPr>
      <w:rFonts w:ascii="Calibri" w:hAnsi="Calibri" w:eastAsia="" w:cs="" w:asciiTheme="majorHAnsi" w:cstheme="majorBidi" w:eastAsiaTheme="majorEastAsia" w:hAnsiTheme="majorHAnsi"/>
      <w:color w:val="243F60" w:themeColor="accent1" w:themeShade="7f"/>
      <w:sz w:val="22"/>
      <w:szCs w:val="22"/>
    </w:rPr>
  </w:style>
  <w:style w:type="character" w:styleId="Markedcontent" w:customStyle="1">
    <w:name w:val="markedcontent"/>
    <w:basedOn w:val="DefaultParagraphFont"/>
    <w:qFormat/>
    <w:rsid w:val="00cb3192"/>
    <w:rPr/>
  </w:style>
  <w:style w:type="character" w:styleId="MenoPendente3" w:customStyle="1">
    <w:name w:val="Menção Pendente3"/>
    <w:basedOn w:val="DefaultParagraphFont"/>
    <w:uiPriority w:val="99"/>
    <w:semiHidden/>
    <w:unhideWhenUsed/>
    <w:qFormat/>
    <w:rsid w:val="00cb3192"/>
    <w:rPr>
      <w:color w:val="605E5C"/>
      <w:shd w:fill="E1DFDD" w:val="clear"/>
    </w:rPr>
  </w:style>
  <w:style w:type="character" w:styleId="MenoPendente4" w:customStyle="1">
    <w:name w:val="Menção Pendente4"/>
    <w:basedOn w:val="DefaultParagraphFont"/>
    <w:uiPriority w:val="99"/>
    <w:semiHidden/>
    <w:unhideWhenUsed/>
    <w:qFormat/>
    <w:rsid w:val="00cb3192"/>
    <w:rPr>
      <w:color w:val="605E5C"/>
      <w:shd w:fill="E1DFDD" w:val="clear"/>
    </w:rPr>
  </w:style>
  <w:style w:type="character" w:styleId="OuChar" w:customStyle="1">
    <w:name w:val="ou Char"/>
    <w:basedOn w:val="PargrafodaListaChar"/>
    <w:link w:val="ou"/>
    <w:qFormat/>
    <w:rsid w:val="00f93d80"/>
    <w:rPr>
      <w:rFonts w:ascii="Arial" w:hAnsi="Arial" w:eastAsia="Cambria" w:cs="Arial" w:eastAsiaTheme="minorHAnsi"/>
      <w:b/>
      <w:bCs/>
      <w:i/>
      <w:iCs/>
      <w:color w:val="FF0000"/>
      <w:sz w:val="24"/>
      <w:szCs w:val="24"/>
      <w:u w:val="single"/>
      <w:lang w:eastAsia="pt-BR"/>
    </w:rPr>
  </w:style>
  <w:style w:type="character" w:styleId="Nvel2RedChar" w:customStyle="1">
    <w:name w:val="Nível 2 -Red Char"/>
    <w:basedOn w:val="Nivel2Char"/>
    <w:link w:val="Nvel2-Red"/>
    <w:qFormat/>
    <w:rsid w:val="00da3ef1"/>
    <w:rPr>
      <w:rFonts w:ascii="Arial" w:hAnsi="Arial" w:eastAsia="Arial" w:cs="Arial"/>
      <w:i/>
      <w:iCs/>
      <w:color w:val="FF0000"/>
      <w:lang w:eastAsia="pt-BR"/>
    </w:rPr>
  </w:style>
  <w:style w:type="character" w:styleId="Nivel3Char" w:customStyle="1">
    <w:name w:val="Nivel 3 Char"/>
    <w:basedOn w:val="DefaultParagraphFont"/>
    <w:link w:val="Nivel3"/>
    <w:qFormat/>
    <w:rsid w:val="005d30b6"/>
    <w:rPr>
      <w:rFonts w:ascii="Arial" w:hAnsi="Arial" w:cs="Arial"/>
      <w:color w:val="000000"/>
      <w:lang w:eastAsia="pt-BR"/>
    </w:rPr>
  </w:style>
  <w:style w:type="character" w:styleId="Nvel3RChar" w:customStyle="1">
    <w:name w:val="Nível 3-R Char"/>
    <w:basedOn w:val="Nivel3Char"/>
    <w:link w:val="Nvel3-R"/>
    <w:qFormat/>
    <w:rsid w:val="00775cfb"/>
    <w:rPr>
      <w:rFonts w:ascii="Arial" w:hAnsi="Arial" w:cs="Arial"/>
      <w:i/>
      <w:iCs/>
      <w:color w:val="FF0000"/>
      <w:lang w:eastAsia="pt-BR"/>
    </w:rPr>
  </w:style>
  <w:style w:type="character" w:styleId="Nvel4RChar" w:customStyle="1">
    <w:name w:val="Nível 4-R Char"/>
    <w:basedOn w:val="Nivel4Char"/>
    <w:link w:val="Nvel4-R"/>
    <w:qFormat/>
    <w:rsid w:val="00da3ef1"/>
    <w:rPr>
      <w:rFonts w:ascii="Arial" w:hAnsi="Arial" w:cs="Arial"/>
      <w:i/>
      <w:iCs/>
      <w:color w:val="FF0000"/>
      <w:lang w:eastAsia="pt-BR"/>
    </w:rPr>
  </w:style>
  <w:style w:type="character" w:styleId="Nvel1SemNumChar" w:customStyle="1">
    <w:name w:val="Nível 1-Sem Num Char"/>
    <w:basedOn w:val="Nivel01Char"/>
    <w:link w:val="Nvel1-SemNum"/>
    <w:qFormat/>
    <w:rsid w:val="00881f44"/>
    <w:rPr>
      <w:rFonts w:ascii="Arial" w:hAnsi="Arial" w:eastAsia="" w:cs="Arial" w:eastAsiaTheme="majorEastAsia"/>
      <w:b/>
      <w:bCs/>
      <w:color w:val="FF0000"/>
      <w:spacing w:val="5"/>
      <w:kern w:val="2"/>
      <w:sz w:val="52"/>
      <w:szCs w:val="52"/>
      <w:lang w:eastAsia="pt-BR"/>
    </w:rPr>
  </w:style>
  <w:style w:type="character" w:styleId="PrembuloChar" w:customStyle="1">
    <w:name w:val="Preâmbulo Char"/>
    <w:basedOn w:val="DefaultParagraphFont"/>
    <w:link w:val="Prembulo"/>
    <w:qFormat/>
    <w:rsid w:val="00bb19e4"/>
    <w:rPr>
      <w:rFonts w:ascii="Arial" w:hAnsi="Arial" w:eastAsia="Arial" w:cs="Arial"/>
      <w:bCs/>
      <w:lang w:eastAsia="pt-BR"/>
    </w:rPr>
  </w:style>
  <w:style w:type="character" w:styleId="Mentionnonrsolue1" w:customStyle="1">
    <w:name w:val="Mention non résolue1"/>
    <w:basedOn w:val="DefaultParagraphFont"/>
    <w:uiPriority w:val="99"/>
    <w:semiHidden/>
    <w:unhideWhenUsed/>
    <w:qFormat/>
    <w:rsid w:val="008d252d"/>
    <w:rPr>
      <w:color w:val="605E5C"/>
      <w:shd w:fill="E1DFDD" w:val="clear"/>
    </w:rPr>
  </w:style>
  <w:style w:type="character" w:styleId="Findhit" w:customStyle="1">
    <w:name w:val="findhit"/>
    <w:basedOn w:val="DefaultParagraphFont"/>
    <w:qFormat/>
    <w:rsid w:val="00e66cc3"/>
    <w:rPr/>
  </w:style>
  <w:style w:type="character" w:styleId="Nivel3erroChar" w:customStyle="1">
    <w:name w:val="Nivel 3-erro Char"/>
    <w:basedOn w:val="DefaultParagraphFont"/>
    <w:link w:val="Nivel3-erro"/>
    <w:qFormat/>
    <w:rsid w:val="005b0afb"/>
    <w:rPr>
      <w:rFonts w:ascii="Arial" w:hAnsi="Arial" w:cs="Tahoma"/>
      <w:szCs w:val="24"/>
      <w:lang w:eastAsia="pt-BR"/>
    </w:rPr>
  </w:style>
  <w:style w:type="character" w:styleId="AlteraesChar" w:customStyle="1">
    <w:name w:val="Alterações Char"/>
    <w:basedOn w:val="DefaultParagraphFont"/>
    <w:link w:val="Alteraes"/>
    <w:uiPriority w:val="1"/>
    <w:qFormat/>
    <w:rsid w:val="1414b7f7"/>
    <w:rPr>
      <w:rFonts w:ascii="Arial" w:hAnsi="Arial" w:cs="Arial"/>
      <w:i/>
      <w:iCs/>
      <w:color w:val="0000FF"/>
      <w:lang w:eastAsia="pt-BR"/>
    </w:rPr>
  </w:style>
  <w:style w:type="character" w:styleId="Meno1" w:customStyle="1">
    <w:name w:val="Menção1"/>
    <w:basedOn w:val="DefaultParagraphFont"/>
    <w:uiPriority w:val="99"/>
    <w:unhideWhenUsed/>
    <w:qFormat/>
    <w:rsid w:val="002804a7"/>
    <w:rPr>
      <w:color w:val="2B579A"/>
      <w:shd w:fill="E6E6E6" w:val="clear"/>
    </w:rPr>
  </w:style>
  <w:style w:type="character" w:styleId="MenoPendente5" w:customStyle="1">
    <w:name w:val="Menção Pendente5"/>
    <w:basedOn w:val="DefaultParagraphFont"/>
    <w:uiPriority w:val="99"/>
    <w:semiHidden/>
    <w:unhideWhenUsed/>
    <w:qFormat/>
    <w:rsid w:val="00921a92"/>
    <w:rPr>
      <w:color w:val="605E5C"/>
      <w:shd w:fill="E1DFDD" w:val="clear"/>
    </w:rPr>
  </w:style>
  <w:style w:type="character" w:styleId="Nvel1SemNumPretoChar" w:customStyle="1">
    <w:name w:val="Nível 1-Sem Num Preto Char"/>
    <w:basedOn w:val="Nvel1SemNumChar"/>
    <w:link w:val="Nvel1-SemNumPreto"/>
    <w:qFormat/>
    <w:rsid w:val="00036ad7"/>
    <w:rPr>
      <w:rFonts w:ascii="Arial" w:hAnsi="Arial" w:eastAsia="" w:cs="Arial" w:eastAsiaTheme="majorEastAsia"/>
      <w:b/>
      <w:bCs/>
      <w:color w:val="FF0000"/>
      <w:spacing w:val="5"/>
      <w:kern w:val="2"/>
      <w:sz w:val="52"/>
      <w:szCs w:val="52"/>
      <w:lang w:eastAsia="zh-CN" w:bidi="hi-IN"/>
    </w:rPr>
  </w:style>
  <w:style w:type="paragraph" w:styleId="Ttulo">
    <w:name w:val="Título"/>
    <w:basedOn w:val="Normal"/>
    <w:next w:val="Corpodotexto"/>
    <w:qFormat/>
    <w:pPr>
      <w:keepNext w:val="true"/>
      <w:spacing w:before="240" w:after="120"/>
    </w:pPr>
    <w:rPr>
      <w:rFonts w:ascii="Liberation Sans" w:hAnsi="Liberation Sans" w:eastAsia="Microsoft YaHei" w:cs="Arial"/>
      <w:sz w:val="28"/>
      <w:szCs w:val="28"/>
    </w:rPr>
  </w:style>
  <w:style w:type="paragraph" w:styleId="Corpodotexto">
    <w:name w:val="Body Text"/>
    <w:basedOn w:val="Normal"/>
    <w:link w:val="CorpodetextoChar"/>
    <w:uiPriority w:val="99"/>
    <w:unhideWhenUsed/>
    <w:rsid w:val="00d30a43"/>
    <w:pPr>
      <w:spacing w:beforeAutospacing="1" w:afterAutospacing="1"/>
    </w:pPr>
    <w:rPr>
      <w:rFonts w:ascii="Times New Roman" w:hAnsi="Times New Roman" w:eastAsia="Times New Roman" w:cs="Times New Roman"/>
    </w:rPr>
  </w:style>
  <w:style w:type="paragraph" w:styleId="Lista">
    <w:name w:val="List"/>
    <w:basedOn w:val="Corpodotexto"/>
    <w:pPr/>
    <w:rPr>
      <w:rFonts w:cs="Arial"/>
    </w:rPr>
  </w:style>
  <w:style w:type="paragraph" w:styleId="Leg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ListParagraph">
    <w:name w:val="List Paragraph"/>
    <w:basedOn w:val="Normal"/>
    <w:link w:val="PargrafodaListaChar"/>
    <w:uiPriority w:val="34"/>
    <w:qFormat/>
    <w:rsid w:val="004773fc"/>
    <w:pPr>
      <w:spacing w:before="0" w:after="0"/>
      <w:ind w:left="720" w:hanging="0"/>
      <w:contextualSpacing/>
    </w:pPr>
    <w:rPr/>
  </w:style>
  <w:style w:type="paragraph" w:styleId="NormalWeb">
    <w:name w:val="Normal (Web)"/>
    <w:basedOn w:val="Normal"/>
    <w:uiPriority w:val="99"/>
    <w:qFormat/>
    <w:rsid w:val="006b156a"/>
    <w:pPr>
      <w:spacing w:beforeAutospacing="1" w:afterAutospacing="1"/>
    </w:pPr>
    <w:rPr>
      <w:rFonts w:ascii="Times New Roman" w:hAnsi="Times New Roman" w:cs="Times New Roman"/>
    </w:rPr>
  </w:style>
  <w:style w:type="paragraph" w:styleId="BalloonText">
    <w:name w:val="Balloon Text"/>
    <w:basedOn w:val="Normal"/>
    <w:link w:val="TextodebaloChar"/>
    <w:uiPriority w:val="99"/>
    <w:qFormat/>
    <w:rsid w:val="003a73c1"/>
    <w:pPr/>
    <w:rPr>
      <w:rFonts w:ascii="Tahoma" w:hAnsi="Tahoma"/>
      <w:sz w:val="16"/>
      <w:szCs w:val="16"/>
    </w:rPr>
  </w:style>
  <w:style w:type="paragraph" w:styleId="Nvel2" w:customStyle="1">
    <w:name w:val="Nível 2"/>
    <w:basedOn w:val="Normal"/>
    <w:next w:val="Normal"/>
    <w:qFormat/>
    <w:rsid w:val="00d30a43"/>
    <w:pPr>
      <w:spacing w:before="0" w:after="120"/>
      <w:jc w:val="both"/>
    </w:pPr>
    <w:rPr>
      <w:rFonts w:ascii="Arial" w:hAnsi="Arial" w:cs="Times New Roman"/>
      <w:b/>
      <w:szCs w:val="20"/>
    </w:rPr>
  </w:style>
  <w:style w:type="paragraph" w:styleId="Quote">
    <w:name w:val="Quote"/>
    <w:basedOn w:val="Normal"/>
    <w:next w:val="Normal"/>
    <w:link w:val="CitaoChar"/>
    <w:qFormat/>
    <w:rsid w:val="00d30a43"/>
    <w:pPr>
      <w:pBdr>
        <w:top w:val="single" w:sz="4" w:space="1" w:color="1F497D"/>
        <w:left w:val="single" w:sz="4" w:space="4" w:color="1F497D"/>
        <w:bottom w:val="single" w:sz="4" w:space="1" w:color="1F497D"/>
        <w:right w:val="single" w:sz="4" w:space="4" w:color="1F497D"/>
      </w:pBdr>
      <w:shd w:val="clear" w:color="auto" w:fill="FFFFCC"/>
      <w:spacing w:before="120" w:after="0"/>
      <w:jc w:val="both"/>
    </w:pPr>
    <w:rPr>
      <w:rFonts w:ascii="Arial" w:hAnsi="Arial" w:eastAsia="Calibri"/>
      <w:i/>
      <w:iCs/>
      <w:color w:val="000000"/>
      <w:sz w:val="20"/>
      <w:lang w:eastAsia="en-US"/>
    </w:rPr>
  </w:style>
  <w:style w:type="paragraph" w:styleId="ListBullet5">
    <w:name w:val="List Bullet 5"/>
    <w:basedOn w:val="Normal"/>
    <w:qFormat/>
    <w:rsid w:val="001a3a05"/>
    <w:pPr>
      <w:numPr>
        <w:ilvl w:val="0"/>
        <w:numId w:val="3"/>
      </w:numPr>
      <w:spacing w:before="0" w:after="0"/>
      <w:contextualSpacing/>
    </w:pPr>
    <w:rPr/>
  </w:style>
  <w:style w:type="paragraph" w:styleId="Notaexplicativa" w:customStyle="1">
    <w:name w:val="Nota explicativa"/>
    <w:basedOn w:val="Quote"/>
    <w:link w:val="NotaexplicativaChar"/>
    <w:qFormat/>
    <w:rsid w:val="00265fb6"/>
    <w:pPr>
      <w:shd w:val="clear" w:fill="FFFFCC"/>
    </w:pPr>
    <w:rPr>
      <w:szCs w:val="20"/>
    </w:rPr>
  </w:style>
  <w:style w:type="paragraph" w:styleId="CabealhoeRodap">
    <w:name w:val="Cabeçalho e Rodapé"/>
    <w:basedOn w:val="Normal"/>
    <w:qFormat/>
    <w:pPr/>
    <w:rPr/>
  </w:style>
  <w:style w:type="paragraph" w:styleId="Cabealho">
    <w:name w:val="Header"/>
    <w:basedOn w:val="Normal"/>
    <w:link w:val="CabealhoChar"/>
    <w:uiPriority w:val="99"/>
    <w:rsid w:val="00ca24fb"/>
    <w:pPr>
      <w:tabs>
        <w:tab w:val="clear" w:pos="408"/>
        <w:tab w:val="center" w:pos="4252" w:leader="none"/>
        <w:tab w:val="right" w:pos="8504" w:leader="none"/>
      </w:tabs>
    </w:pPr>
    <w:rPr/>
  </w:style>
  <w:style w:type="paragraph" w:styleId="Rodap">
    <w:name w:val="Footer"/>
    <w:basedOn w:val="Normal"/>
    <w:link w:val="RodapChar"/>
    <w:uiPriority w:val="99"/>
    <w:rsid w:val="00ca24fb"/>
    <w:pPr>
      <w:tabs>
        <w:tab w:val="clear" w:pos="408"/>
        <w:tab w:val="center" w:pos="4252" w:leader="none"/>
        <w:tab w:val="right" w:pos="8504" w:leader="none"/>
      </w:tabs>
    </w:pPr>
    <w:rPr/>
  </w:style>
  <w:style w:type="paragraph" w:styleId="Annotationtext">
    <w:name w:val="annotation text"/>
    <w:basedOn w:val="Normal"/>
    <w:link w:val="TextodecomentrioChar"/>
    <w:uiPriority w:val="99"/>
    <w:unhideWhenUsed/>
    <w:qFormat/>
    <w:rsid w:val="00d30a43"/>
    <w:pPr/>
    <w:rPr>
      <w:sz w:val="20"/>
      <w:szCs w:val="20"/>
    </w:rPr>
  </w:style>
  <w:style w:type="paragraph" w:styleId="Annotationsubject">
    <w:name w:val="annotation subject"/>
    <w:basedOn w:val="Annotationtext"/>
    <w:next w:val="Annotationtext"/>
    <w:link w:val="AssuntodocomentrioChar"/>
    <w:uiPriority w:val="99"/>
    <w:semiHidden/>
    <w:unhideWhenUsed/>
    <w:qFormat/>
    <w:rsid w:val="00430fdb"/>
    <w:pPr/>
    <w:rPr>
      <w:b/>
      <w:bCs/>
    </w:rPr>
  </w:style>
  <w:style w:type="paragraph" w:styleId="Nivel01" w:customStyle="1">
    <w:name w:val="Nivel 01"/>
    <w:basedOn w:val="Ttulo1"/>
    <w:next w:val="Normal"/>
    <w:link w:val="Nivel01Char"/>
    <w:autoRedefine/>
    <w:qFormat/>
    <w:rsid w:val="00881f44"/>
    <w:pPr>
      <w:tabs>
        <w:tab w:val="clear" w:pos="408"/>
        <w:tab w:val="left" w:pos="567" w:leader="none"/>
      </w:tabs>
      <w:spacing w:lineRule="auto" w:line="276" w:before="240" w:after="120"/>
      <w:ind w:left="0" w:hanging="0"/>
      <w:jc w:val="both"/>
    </w:pPr>
    <w:rPr>
      <w:rFonts w:ascii="Arial" w:hAnsi="Arial" w:cs="Arial"/>
      <w:color w:val="auto"/>
      <w:sz w:val="20"/>
      <w:szCs w:val="20"/>
    </w:rPr>
  </w:style>
  <w:style w:type="paragraph" w:styleId="Nivel01Titulo" w:customStyle="1">
    <w:name w:val="Nivel_01_Titulo"/>
    <w:basedOn w:val="Nivel01"/>
    <w:link w:val="Nivel01TituloChar"/>
    <w:qFormat/>
    <w:rsid w:val="00e967ea"/>
    <w:pPr>
      <w:jc w:val="left"/>
    </w:pPr>
    <w:rPr>
      <w:rFonts w:cs="" w:cstheme="majorBidi"/>
      <w:color w:val="000000" w:themeColor="text1"/>
      <w:spacing w:val="5"/>
      <w:kern w:val="2"/>
      <w:sz w:val="52"/>
      <w:szCs w:val="52"/>
    </w:rPr>
  </w:style>
  <w:style w:type="paragraph" w:styleId="Ttulododocumento">
    <w:name w:val="Title"/>
    <w:basedOn w:val="Normal"/>
    <w:next w:val="Normal"/>
    <w:link w:val="TtuloChar"/>
    <w:qFormat/>
    <w:rsid w:val="007f77ad"/>
    <w:pPr>
      <w:pBdr>
        <w:bottom w:val="single" w:sz="8" w:space="4" w:color="4F81BD"/>
      </w:pBdr>
      <w:spacing w:before="0" w:after="300"/>
      <w:contextualSpacing/>
    </w:pPr>
    <w:rPr>
      <w:rFonts w:ascii="Calibri" w:hAnsi="Calibri" w:eastAsia="" w:cs="" w:asciiTheme="majorHAnsi" w:cstheme="majorBidi" w:eastAsiaTheme="majorEastAsia" w:hAnsiTheme="majorHAnsi"/>
      <w:color w:val="17365D" w:themeColor="text2" w:themeShade="bf"/>
      <w:spacing w:val="5"/>
      <w:kern w:val="2"/>
      <w:sz w:val="52"/>
      <w:szCs w:val="52"/>
    </w:rPr>
  </w:style>
  <w:style w:type="paragraph" w:styleId="PADRO" w:customStyle="1">
    <w:name w:val="PADRÃO"/>
    <w:qFormat/>
    <w:rsid w:val="001e2495"/>
    <w:pPr>
      <w:keepNext w:val="true"/>
      <w:widowControl w:val="false"/>
      <w:shd w:val="clear" w:color="auto" w:fill="FFFFFF"/>
      <w:suppressAutoHyphens w:val="true"/>
      <w:bidi w:val="0"/>
      <w:spacing w:lineRule="auto" w:line="276" w:before="119" w:after="119"/>
      <w:ind w:firstLine="567"/>
      <w:jc w:val="both"/>
      <w:textAlignment w:val="baseline"/>
    </w:pPr>
    <w:rPr>
      <w:rFonts w:ascii="Ecofont_Spranq_eco_Sans" w:hAnsi="Ecofont_Spranq_eco_Sans" w:eastAsia="WenQuanYi Micro Hei" w:cs="Lohit Hindi"/>
      <w:color w:val="auto"/>
      <w:kern w:val="0"/>
      <w:sz w:val="20"/>
      <w:szCs w:val="24"/>
      <w:lang w:val="pt-BR" w:eastAsia="zh-CN" w:bidi="hi-IN"/>
    </w:rPr>
  </w:style>
  <w:style w:type="paragraph" w:styleId="Citao1" w:customStyle="1">
    <w:name w:val="Citação1"/>
    <w:basedOn w:val="Normal"/>
    <w:next w:val="Normal"/>
    <w:link w:val="QuoteChar"/>
    <w:qFormat/>
    <w:rsid w:val="00d30a43"/>
    <w:pPr>
      <w:pBdr>
        <w:top w:val="single" w:sz="4" w:space="1" w:color="1F497D"/>
        <w:left w:val="single" w:sz="4" w:space="4" w:color="1F497D"/>
        <w:bottom w:val="single" w:sz="4" w:space="1" w:color="1F497D"/>
        <w:right w:val="single" w:sz="4" w:space="4" w:color="1F497D"/>
      </w:pBdr>
      <w:shd w:val="clear" w:color="auto" w:fill="FFFFCC"/>
      <w:spacing w:before="120" w:after="0"/>
      <w:jc w:val="both"/>
    </w:pPr>
    <w:rPr>
      <w:rFonts w:eastAsia="Calibri"/>
      <w:i/>
      <w:iCs/>
      <w:color w:val="000000"/>
      <w:sz w:val="20"/>
      <w:szCs w:val="20"/>
      <w:lang w:eastAsia="en-US"/>
    </w:rPr>
  </w:style>
  <w:style w:type="paragraph" w:styleId="Paragraph" w:customStyle="1">
    <w:name w:val="paragraph"/>
    <w:basedOn w:val="Normal"/>
    <w:qFormat/>
    <w:rsid w:val="00d30a43"/>
    <w:pPr>
      <w:spacing w:beforeAutospacing="1" w:afterAutospacing="1"/>
    </w:pPr>
    <w:rPr>
      <w:rFonts w:ascii="Times New Roman" w:hAnsi="Times New Roman" w:eastAsia="Times New Roman" w:cs="Times New Roman"/>
    </w:rPr>
  </w:style>
  <w:style w:type="paragraph" w:styleId="Nivel1" w:customStyle="1">
    <w:name w:val="Nivel1"/>
    <w:basedOn w:val="Ttulo1"/>
    <w:link w:val="Nivel1Char"/>
    <w:qFormat/>
    <w:rsid w:val="00d30a43"/>
    <w:pPr>
      <w:spacing w:lineRule="auto" w:line="276"/>
      <w:ind w:left="357" w:hanging="357"/>
      <w:jc w:val="both"/>
    </w:pPr>
    <w:rPr>
      <w:rFonts w:ascii="Arial" w:hAnsi="Arial" w:cs="Arial"/>
      <w:bCs w:val="false"/>
      <w:color w:val="000000"/>
    </w:rPr>
  </w:style>
  <w:style w:type="paragraph" w:styleId="PargrafodaLista1" w:customStyle="1">
    <w:name w:val="Parágrafo da Lista1"/>
    <w:basedOn w:val="Normal"/>
    <w:qFormat/>
    <w:rsid w:val="00d30a43"/>
    <w:pPr>
      <w:ind w:left="720" w:hanging="0"/>
    </w:pPr>
    <w:rPr>
      <w:rFonts w:eastAsia="Times New Roman" w:cs="Ecofont_Spranq_eco_Sans"/>
    </w:rPr>
  </w:style>
  <w:style w:type="paragraph" w:styleId="Nivel2" w:customStyle="1">
    <w:name w:val="Nivel 2"/>
    <w:basedOn w:val="Normal"/>
    <w:link w:val="Nivel2Char"/>
    <w:autoRedefine/>
    <w:qFormat/>
    <w:rsid w:val="0084242c"/>
    <w:pPr>
      <w:numPr>
        <w:ilvl w:val="0"/>
        <w:numId w:val="2"/>
      </w:numPr>
      <w:spacing w:lineRule="auto" w:line="276" w:before="120" w:after="120"/>
      <w:ind w:left="0" w:hanging="0"/>
      <w:jc w:val="both"/>
    </w:pPr>
    <w:rPr>
      <w:rFonts w:ascii="Arial" w:hAnsi="Arial" w:eastAsia="Arial" w:cs="Arial"/>
      <w:color w:val="000000"/>
      <w:sz w:val="20"/>
      <w:szCs w:val="20"/>
    </w:rPr>
  </w:style>
  <w:style w:type="paragraph" w:styleId="Nivel11" w:customStyle="1">
    <w:name w:val="Nivel 1"/>
    <w:basedOn w:val="Nivel2"/>
    <w:next w:val="Nivel2"/>
    <w:qFormat/>
    <w:rsid w:val="003629e4"/>
    <w:pPr>
      <w:numPr>
        <w:ilvl w:val="0"/>
        <w:numId w:val="0"/>
      </w:numPr>
      <w:ind w:left="360" w:hanging="360"/>
    </w:pPr>
    <w:rPr>
      <w:b/>
    </w:rPr>
  </w:style>
  <w:style w:type="paragraph" w:styleId="Nivel3" w:customStyle="1">
    <w:name w:val="Nivel 3"/>
    <w:basedOn w:val="Normal"/>
    <w:link w:val="Nivel3Char"/>
    <w:autoRedefine/>
    <w:qFormat/>
    <w:rsid w:val="005d30b6"/>
    <w:pPr>
      <w:numPr>
        <w:ilvl w:val="0"/>
        <w:numId w:val="2"/>
      </w:numPr>
      <w:spacing w:lineRule="auto" w:line="276" w:before="120" w:after="120"/>
      <w:ind w:left="284" w:hanging="0"/>
      <w:jc w:val="both"/>
    </w:pPr>
    <w:rPr>
      <w:rFonts w:ascii="Arial" w:hAnsi="Arial" w:cs="Arial"/>
      <w:color w:val="000000"/>
      <w:sz w:val="20"/>
      <w:szCs w:val="20"/>
    </w:rPr>
  </w:style>
  <w:style w:type="paragraph" w:styleId="Nivel4" w:customStyle="1">
    <w:name w:val="Nivel 4"/>
    <w:basedOn w:val="Nivel3"/>
    <w:link w:val="Nivel4Char"/>
    <w:autoRedefine/>
    <w:qFormat/>
    <w:rsid w:val="00da3ef1"/>
    <w:pPr>
      <w:ind w:left="567" w:hanging="0"/>
    </w:pPr>
    <w:rPr>
      <w:color w:val="auto"/>
    </w:rPr>
  </w:style>
  <w:style w:type="paragraph" w:styleId="Nivel5" w:customStyle="1">
    <w:name w:val="Nivel 5"/>
    <w:basedOn w:val="Nivel4"/>
    <w:autoRedefine/>
    <w:qFormat/>
    <w:rsid w:val="00da3ef1"/>
    <w:pPr>
      <w:ind w:left="851" w:hanging="0"/>
    </w:pPr>
    <w:rPr/>
  </w:style>
  <w:style w:type="paragraph" w:styleId="Textbody" w:customStyle="1">
    <w:name w:val="textbody"/>
    <w:basedOn w:val="Normal"/>
    <w:qFormat/>
    <w:rsid w:val="00d30a43"/>
    <w:pPr>
      <w:spacing w:beforeAutospacing="1" w:afterAutospacing="1"/>
    </w:pPr>
    <w:rPr>
      <w:rFonts w:ascii="Times New Roman" w:hAnsi="Times New Roman" w:eastAsia="Times New Roman" w:cs="Times New Roman"/>
    </w:rPr>
  </w:style>
  <w:style w:type="paragraph" w:styleId="Em0020ementa" w:customStyle="1">
    <w:name w:val="em_0020ementa"/>
    <w:basedOn w:val="Normal"/>
    <w:qFormat/>
    <w:rsid w:val="00d30a43"/>
    <w:pPr>
      <w:ind w:left="4160" w:hanging="0"/>
      <w:jc w:val="both"/>
    </w:pPr>
    <w:rPr>
      <w:rFonts w:ascii="Times New Roman" w:hAnsi="Times New Roman" w:eastAsia="Times New Roman" w:cs="Times New Roman"/>
      <w:sz w:val="28"/>
      <w:szCs w:val="28"/>
    </w:rPr>
  </w:style>
  <w:style w:type="paragraph" w:styleId="Revision">
    <w:name w:val="Revision"/>
    <w:uiPriority w:val="99"/>
    <w:semiHidden/>
    <w:qFormat/>
    <w:rsid w:val="00d30a43"/>
    <w:pPr>
      <w:widowControl/>
      <w:suppressAutoHyphens w:val="true"/>
      <w:bidi w:val="0"/>
      <w:spacing w:before="0" w:after="0"/>
      <w:jc w:val="left"/>
    </w:pPr>
    <w:rPr>
      <w:rFonts w:ascii="Ecofont_Spranq_eco_Sans" w:hAnsi="Ecofont_Spranq_eco_Sans" w:eastAsia="Times New Roman" w:cs="Tahoma"/>
      <w:color w:val="auto"/>
      <w:kern w:val="0"/>
      <w:sz w:val="24"/>
      <w:szCs w:val="24"/>
      <w:lang w:val="pt-BR" w:eastAsia="pt-BR" w:bidi="ar-SA"/>
    </w:rPr>
  </w:style>
  <w:style w:type="paragraph" w:styleId="Texto1" w:customStyle="1">
    <w:name w:val="texto1"/>
    <w:basedOn w:val="Normal"/>
    <w:qFormat/>
    <w:rsid w:val="00d30a43"/>
    <w:pPr>
      <w:spacing w:beforeAutospacing="1" w:afterAutospacing="1"/>
    </w:pPr>
    <w:rPr>
      <w:rFonts w:ascii="Times New Roman" w:hAnsi="Times New Roman" w:eastAsia="Times New Roman" w:cs="Times New Roman"/>
    </w:rPr>
  </w:style>
  <w:style w:type="paragraph" w:styleId="GradeColoridanfase11" w:customStyle="1">
    <w:name w:val="Grade Colorida - Ênfase 11"/>
    <w:basedOn w:val="Normal"/>
    <w:next w:val="Normal"/>
    <w:link w:val="GradeColorida-nfase1Char"/>
    <w:uiPriority w:val="29"/>
    <w:qFormat/>
    <w:rsid w:val="00d30a43"/>
    <w:pPr>
      <w:pBdr>
        <w:top w:val="single" w:sz="4" w:space="1" w:color="1F497D"/>
        <w:left w:val="single" w:sz="4" w:space="4" w:color="1F497D"/>
        <w:bottom w:val="single" w:sz="4" w:space="1" w:color="1F497D"/>
        <w:right w:val="single" w:sz="4" w:space="4" w:color="1F497D"/>
      </w:pBdr>
      <w:shd w:val="clear" w:color="auto" w:fill="FFFFCC"/>
      <w:spacing w:before="120" w:after="0"/>
      <w:jc w:val="both"/>
    </w:pPr>
    <w:rPr>
      <w:rFonts w:ascii="Arial" w:hAnsi="Arial" w:eastAsia="Calibri" w:cs="Times New Roman"/>
      <w:i/>
      <w:iCs/>
      <w:color w:val="000000"/>
      <w:sz w:val="20"/>
      <w:lang w:eastAsia="en-US"/>
    </w:rPr>
  </w:style>
  <w:style w:type="paragraph" w:styleId="Xwestern" w:customStyle="1">
    <w:name w:val="x_western"/>
    <w:basedOn w:val="Normal"/>
    <w:qFormat/>
    <w:rsid w:val="00d30a43"/>
    <w:pPr>
      <w:spacing w:beforeAutospacing="1" w:afterAutospacing="1"/>
    </w:pPr>
    <w:rPr>
      <w:rFonts w:ascii="Times New Roman" w:hAnsi="Times New Roman" w:eastAsia="Times New Roman" w:cs="Times New Roman"/>
    </w:rPr>
  </w:style>
  <w:style w:type="paragraph" w:styleId="TCUAcitem90" w:customStyle="1">
    <w:name w:val="TCU - Ac - item 9 - §§_0"/>
    <w:basedOn w:val="Normal"/>
    <w:qFormat/>
    <w:rsid w:val="00d30a43"/>
    <w:pPr>
      <w:ind w:firstLine="1134"/>
      <w:jc w:val="both"/>
    </w:pPr>
    <w:rPr>
      <w:rFonts w:ascii="Times New Roman" w:hAnsi="Times New Roman" w:eastAsia="Times New Roman" w:cs="Times New Roman"/>
      <w:szCs w:val="22"/>
      <w:lang w:eastAsia="en-US"/>
    </w:rPr>
  </w:style>
  <w:style w:type="paragraph" w:styleId="Normal1" w:customStyle="1">
    <w:name w:val="Normal_1"/>
    <w:qFormat/>
    <w:rsid w:val="00d30a43"/>
    <w:pPr>
      <w:widowControl/>
      <w:suppressAutoHyphens w:val="true"/>
      <w:bidi w:val="0"/>
      <w:spacing w:before="0" w:after="0"/>
      <w:jc w:val="left"/>
    </w:pPr>
    <w:rPr>
      <w:rFonts w:ascii="Times New Roman" w:hAnsi="Times New Roman" w:eastAsia="Times New Roman" w:cs="Times New Roman"/>
      <w:color w:val="auto"/>
      <w:kern w:val="0"/>
      <w:sz w:val="24"/>
      <w:szCs w:val="22"/>
      <w:lang w:val="pt-BR" w:eastAsia="en-US" w:bidi="ar-SA"/>
    </w:rPr>
  </w:style>
  <w:style w:type="paragraph" w:styleId="Tcuacitem91linha" w:customStyle="1">
    <w:name w:val="tcu_-__ac_-_item_9_-_1ª_linha"/>
    <w:basedOn w:val="Normal"/>
    <w:qFormat/>
    <w:rsid w:val="00d30a43"/>
    <w:pPr>
      <w:spacing w:beforeAutospacing="1" w:afterAutospacing="1"/>
    </w:pPr>
    <w:rPr>
      <w:rFonts w:ascii="Times New Roman" w:hAnsi="Times New Roman" w:eastAsia="Times New Roman" w:cs="Times New Roman"/>
    </w:rPr>
  </w:style>
  <w:style w:type="paragraph" w:styleId="Textojustificadorecuoprimeiralinha" w:customStyle="1">
    <w:name w:val="texto_justificado_recuo_primeira_linha"/>
    <w:basedOn w:val="Normal"/>
    <w:qFormat/>
    <w:rsid w:val="00d30a43"/>
    <w:pPr>
      <w:spacing w:beforeAutospacing="1" w:afterAutospacing="1"/>
    </w:pPr>
    <w:rPr>
      <w:rFonts w:ascii="Times New Roman" w:hAnsi="Times New Roman" w:eastAsia="Times New Roman" w:cs="Times New Roman"/>
    </w:rPr>
  </w:style>
  <w:style w:type="paragraph" w:styleId="Textojustificado" w:customStyle="1">
    <w:name w:val="texto_justificado"/>
    <w:basedOn w:val="Normal"/>
    <w:qFormat/>
    <w:rsid w:val="00d30a43"/>
    <w:pPr>
      <w:spacing w:beforeAutospacing="1" w:afterAutospacing="1"/>
    </w:pPr>
    <w:rPr>
      <w:rFonts w:ascii="Times New Roman" w:hAnsi="Times New Roman" w:eastAsia="Times New Roman" w:cs="Times New Roman"/>
    </w:rPr>
  </w:style>
  <w:style w:type="paragraph" w:styleId="Nvel2Opcional" w:customStyle="1">
    <w:name w:val="Nível 2 Opcional"/>
    <w:basedOn w:val="Nivel2"/>
    <w:link w:val="Nvel2OpcionalChar"/>
    <w:qFormat/>
    <w:rsid w:val="00a831d9"/>
    <w:pPr>
      <w:numPr>
        <w:ilvl w:val="0"/>
        <w:numId w:val="0"/>
      </w:numPr>
      <w:ind w:left="432" w:hanging="432"/>
    </w:pPr>
    <w:rPr>
      <w:rFonts w:eastAsia="Times New Roman"/>
      <w:i/>
      <w:color w:val="FF0000"/>
    </w:rPr>
  </w:style>
  <w:style w:type="paragraph" w:styleId="Nvel3Opcional" w:customStyle="1">
    <w:name w:val="Nível 3 Opcional"/>
    <w:basedOn w:val="Nivel3"/>
    <w:link w:val="Nvel3OpcionalChar"/>
    <w:qFormat/>
    <w:rsid w:val="00a831d9"/>
    <w:pPr>
      <w:numPr>
        <w:ilvl w:val="0"/>
        <w:numId w:val="0"/>
      </w:numPr>
      <w:ind w:left="1072" w:hanging="504"/>
    </w:pPr>
    <w:rPr>
      <w:rFonts w:eastAsia="Times New Roman"/>
      <w:i/>
      <w:iCs/>
      <w:color w:val="FF0000"/>
    </w:rPr>
  </w:style>
  <w:style w:type="paragraph" w:styleId="SombreamentoMdio1nfase31" w:customStyle="1">
    <w:name w:val="Sombreamento Médio 1 - Ênfase 31"/>
    <w:basedOn w:val="Normal"/>
    <w:next w:val="Normal"/>
    <w:qFormat/>
    <w:rsid w:val="00cb3192"/>
    <w:pPr>
      <w:pBdr>
        <w:top w:val="single" w:sz="4" w:space="1" w:color="000080"/>
        <w:left w:val="single" w:sz="4" w:space="4" w:color="000080"/>
        <w:bottom w:val="single" w:sz="4" w:space="1" w:color="000080"/>
        <w:right w:val="single" w:sz="4" w:space="4" w:color="000080"/>
      </w:pBdr>
      <w:shd w:val="clear" w:color="auto" w:fill="FFFFCC"/>
      <w:suppressAutoHyphens w:val="true"/>
      <w:spacing w:before="120" w:after="0"/>
      <w:jc w:val="both"/>
    </w:pPr>
    <w:rPr>
      <w:rFonts w:eastAsia="Calibri"/>
      <w:i/>
      <w:iCs/>
      <w:color w:val="000000"/>
      <w:sz w:val="20"/>
      <w:lang w:eastAsia="zh-CN"/>
    </w:rPr>
  </w:style>
  <w:style w:type="paragraph" w:styleId="Corpo" w:customStyle="1">
    <w:name w:val="corpo"/>
    <w:basedOn w:val="Normal"/>
    <w:qFormat/>
    <w:rsid w:val="00cb3192"/>
    <w:pPr>
      <w:spacing w:beforeAutospacing="1" w:afterAutospacing="1"/>
    </w:pPr>
    <w:rPr>
      <w:rFonts w:ascii="Times New Roman" w:hAnsi="Times New Roman" w:eastAsia="Times New Roman" w:cs="Times New Roman"/>
    </w:rPr>
  </w:style>
  <w:style w:type="paragraph" w:styleId="Itemnivel2" w:customStyle="1">
    <w:name w:val="item_nivel2"/>
    <w:basedOn w:val="Normal"/>
    <w:qFormat/>
    <w:rsid w:val="00cb3192"/>
    <w:pPr>
      <w:spacing w:beforeAutospacing="1" w:afterAutospacing="1"/>
    </w:pPr>
    <w:rPr>
      <w:rFonts w:ascii="Times New Roman" w:hAnsi="Times New Roman" w:eastAsia="Times New Roman" w:cs="Times New Roman"/>
    </w:rPr>
  </w:style>
  <w:style w:type="paragraph" w:styleId="Itemnivel1" w:customStyle="1">
    <w:name w:val="item_nivel1"/>
    <w:basedOn w:val="Normal"/>
    <w:qFormat/>
    <w:rsid w:val="00cb3192"/>
    <w:pPr>
      <w:spacing w:beforeAutospacing="1" w:afterAutospacing="1"/>
    </w:pPr>
    <w:rPr>
      <w:rFonts w:ascii="Times New Roman" w:hAnsi="Times New Roman" w:eastAsia="Times New Roman" w:cs="Times New Roman"/>
    </w:rPr>
  </w:style>
  <w:style w:type="paragraph" w:styleId="Itemalinealetra" w:customStyle="1">
    <w:name w:val="item_alinea_letra"/>
    <w:basedOn w:val="Normal"/>
    <w:qFormat/>
    <w:rsid w:val="00cb3192"/>
    <w:pPr>
      <w:spacing w:beforeAutospacing="1" w:afterAutospacing="1"/>
    </w:pPr>
    <w:rPr>
      <w:rFonts w:ascii="Times New Roman" w:hAnsi="Times New Roman" w:eastAsia="Times New Roman" w:cs="Times New Roman"/>
    </w:rPr>
  </w:style>
  <w:style w:type="paragraph" w:styleId="Standard" w:customStyle="1">
    <w:name w:val="Standard"/>
    <w:qFormat/>
    <w:rsid w:val="00cb3192"/>
    <w:pPr>
      <w:widowControl/>
      <w:suppressAutoHyphens w:val="true"/>
      <w:bidi w:val="0"/>
      <w:spacing w:before="0" w:after="0"/>
      <w:jc w:val="left"/>
    </w:pPr>
    <w:rPr>
      <w:rFonts w:ascii="Liberation Serif" w:hAnsi="Liberation Serif" w:eastAsia="NSimSun" w:cs="Lucida Sans"/>
      <w:color w:val="auto"/>
      <w:kern w:val="2"/>
      <w:sz w:val="24"/>
      <w:szCs w:val="24"/>
      <w:lang w:val="pt-BR" w:eastAsia="zh-CN" w:bidi="hi-IN"/>
    </w:rPr>
  </w:style>
  <w:style w:type="paragraph" w:styleId="Textbody1" w:customStyle="1">
    <w:name w:val="Text body"/>
    <w:basedOn w:val="Standard"/>
    <w:qFormat/>
    <w:rsid w:val="00cb3192"/>
    <w:pPr>
      <w:spacing w:lineRule="auto" w:line="276" w:before="0" w:after="140"/>
    </w:pPr>
    <w:rPr/>
  </w:style>
  <w:style w:type="paragraph" w:styleId="Ou" w:customStyle="1">
    <w:name w:val="ou"/>
    <w:basedOn w:val="ListParagraph"/>
    <w:link w:val="ouChar"/>
    <w:qFormat/>
    <w:rsid w:val="00f93d80"/>
    <w:pPr>
      <w:spacing w:lineRule="auto" w:line="259" w:before="60" w:after="60"/>
      <w:ind w:left="0" w:hanging="0"/>
      <w:contextualSpacing/>
      <w:jc w:val="center"/>
    </w:pPr>
    <w:rPr>
      <w:rFonts w:ascii="Arial" w:hAnsi="Arial" w:eastAsia="Cambria" w:cs="Arial" w:eastAsiaTheme="minorHAnsi"/>
      <w:b/>
      <w:bCs/>
      <w:i/>
      <w:iCs/>
      <w:color w:val="FF0000"/>
      <w:sz w:val="20"/>
      <w:u w:val="single"/>
    </w:rPr>
  </w:style>
  <w:style w:type="paragraph" w:styleId="Douparagraph" w:customStyle="1">
    <w:name w:val="dou-paragraph"/>
    <w:basedOn w:val="Normal"/>
    <w:qFormat/>
    <w:rsid w:val="00cb3192"/>
    <w:pPr>
      <w:spacing w:beforeAutospacing="1" w:afterAutospacing="1"/>
    </w:pPr>
    <w:rPr>
      <w:rFonts w:ascii="Times New Roman" w:hAnsi="Times New Roman" w:eastAsia="Times New Roman" w:cs="Times New Roman"/>
    </w:rPr>
  </w:style>
  <w:style w:type="paragraph" w:styleId="Nvel2Red" w:customStyle="1">
    <w:name w:val="Nível 2 -Red"/>
    <w:basedOn w:val="Nivel2"/>
    <w:link w:val="Nvel2-RedChar"/>
    <w:qFormat/>
    <w:rsid w:val="00da3ef1"/>
    <w:pPr/>
    <w:rPr>
      <w:i/>
      <w:iCs/>
      <w:color w:val="FF0000"/>
    </w:rPr>
  </w:style>
  <w:style w:type="paragraph" w:styleId="Nvel3R" w:customStyle="1">
    <w:name w:val="Nível 3-R"/>
    <w:basedOn w:val="Nivel3"/>
    <w:link w:val="Nvel3-RChar"/>
    <w:autoRedefine/>
    <w:qFormat/>
    <w:rsid w:val="00775cfb"/>
    <w:pPr/>
    <w:rPr>
      <w:i/>
      <w:iCs/>
      <w:color w:val="FF0000"/>
    </w:rPr>
  </w:style>
  <w:style w:type="paragraph" w:styleId="Nvel4R" w:customStyle="1">
    <w:name w:val="Nível 4-R"/>
    <w:basedOn w:val="Nivel4"/>
    <w:link w:val="Nvel4-RChar"/>
    <w:autoRedefine/>
    <w:qFormat/>
    <w:rsid w:val="00da3ef1"/>
    <w:pPr/>
    <w:rPr>
      <w:i/>
      <w:iCs/>
      <w:color w:val="FF0000"/>
    </w:rPr>
  </w:style>
  <w:style w:type="paragraph" w:styleId="Nvel1SemNum" w:customStyle="1">
    <w:name w:val="Nível 1-Sem Num"/>
    <w:basedOn w:val="Nivel01"/>
    <w:link w:val="Nvel1-SemNumChar"/>
    <w:autoRedefine/>
    <w:qFormat/>
    <w:rsid w:val="00881f44"/>
    <w:pPr>
      <w:outlineLvl w:val="1"/>
    </w:pPr>
    <w:rPr>
      <w:color w:val="auto"/>
    </w:rPr>
  </w:style>
  <w:style w:type="paragraph" w:styleId="Citao2" w:customStyle="1">
    <w:name w:val="citação 2"/>
    <w:basedOn w:val="Quote"/>
    <w:qFormat/>
    <w:rsid w:val="00dc41dd"/>
    <w:pPr>
      <w:shd w:val="clear" w:fill="FFFFCC"/>
      <w:overflowPunct w:val="false"/>
    </w:pPr>
    <w:rPr>
      <w:szCs w:val="20"/>
    </w:rPr>
  </w:style>
  <w:style w:type="paragraph" w:styleId="Prembulo" w:customStyle="1">
    <w:name w:val="Preâmbulo"/>
    <w:basedOn w:val="Normal"/>
    <w:link w:val="PrembuloChar"/>
    <w:qFormat/>
    <w:rsid w:val="00bb19e4"/>
    <w:pPr>
      <w:spacing w:lineRule="auto" w:line="360" w:before="480" w:after="120"/>
      <w:ind w:left="4253" w:right="-17" w:hanging="0"/>
      <w:jc w:val="both"/>
    </w:pPr>
    <w:rPr>
      <w:rFonts w:ascii="Arial" w:hAnsi="Arial" w:eastAsia="Arial" w:cs="Arial"/>
      <w:bCs/>
      <w:sz w:val="20"/>
      <w:szCs w:val="20"/>
    </w:rPr>
  </w:style>
  <w:style w:type="paragraph" w:styleId="Nivel3erro" w:customStyle="1">
    <w:name w:val="Nivel 3-erro"/>
    <w:basedOn w:val="Nivel3"/>
    <w:link w:val="Nivel3-erroChar"/>
    <w:qFormat/>
    <w:rsid w:val="005b0afb"/>
    <w:pPr>
      <w:numPr>
        <w:ilvl w:val="0"/>
        <w:numId w:val="1"/>
      </w:numPr>
      <w:spacing w:lineRule="auto" w:line="240"/>
      <w:ind w:left="425" w:hanging="0"/>
    </w:pPr>
    <w:rPr>
      <w:rFonts w:cs="Tahoma"/>
      <w:color w:val="auto"/>
      <w:szCs w:val="24"/>
    </w:rPr>
  </w:style>
  <w:style w:type="paragraph" w:styleId="Alteraes" w:customStyle="1">
    <w:name w:val="Alterações"/>
    <w:basedOn w:val="Normal"/>
    <w:link w:val="AlteraesChar"/>
    <w:uiPriority w:val="1"/>
    <w:qFormat/>
    <w:rsid w:val="1414b7f7"/>
    <w:pPr>
      <w:spacing w:lineRule="auto" w:line="276" w:before="120" w:after="120"/>
      <w:jc w:val="both"/>
      <w:outlineLvl w:val="1"/>
    </w:pPr>
    <w:rPr>
      <w:rFonts w:ascii="Arial" w:hAnsi="Arial" w:cs="Arial"/>
      <w:i/>
      <w:iCs/>
      <w:color w:val="0000FF"/>
      <w:sz w:val="20"/>
      <w:szCs w:val="20"/>
    </w:rPr>
  </w:style>
  <w:style w:type="paragraph" w:styleId="Nvel1SemNumPreto" w:customStyle="1">
    <w:name w:val="Nível 1-Sem Num Preto"/>
    <w:basedOn w:val="Nvel1SemNum"/>
    <w:link w:val="Nvel1-SemNumPretoChar"/>
    <w:qFormat/>
    <w:rsid w:val="00036ad7"/>
    <w:pPr/>
    <w:rPr>
      <w:color w:val="auto"/>
      <w:lang w:eastAsia="zh-CN" w:bidi="hi-IN"/>
    </w:rPr>
  </w:style>
  <w:style w:type="numbering" w:styleId="NoList" w:default="1">
    <w:name w:val="No List"/>
    <w:uiPriority w:val="99"/>
    <w:semiHidden/>
    <w:unhideWhenUsed/>
    <w:qFormat/>
  </w:style>
  <w:style w:type="numbering" w:styleId="Estilo1" w:customStyle="1">
    <w:name w:val="Estilo1"/>
    <w:uiPriority w:val="99"/>
    <w:qFormat/>
    <w:rsid w:val="008c6874"/>
  </w:style>
  <w:style w:type="numbering" w:styleId="Estilo2" w:customStyle="1">
    <w:name w:val="Estilo2"/>
    <w:uiPriority w:val="99"/>
    <w:qFormat/>
    <w:rsid w:val="00a72b79"/>
  </w:style>
  <w:style w:type="numbering" w:styleId="Estilo3" w:customStyle="1">
    <w:name w:val="Estilo3"/>
    <w:uiPriority w:val="99"/>
    <w:qFormat/>
    <w:rsid w:val="00a72b79"/>
  </w:style>
  <w:style w:type="numbering" w:styleId="Estilo4" w:customStyle="1">
    <w:name w:val="Estilo4"/>
    <w:uiPriority w:val="99"/>
    <w:qFormat/>
    <w:rsid w:val="0054016d"/>
  </w:style>
  <w:style w:type="numbering" w:styleId="Estilo5" w:customStyle="1">
    <w:name w:val="Estilo5"/>
    <w:uiPriority w:val="99"/>
    <w:qFormat/>
    <w:rsid w:val="0054016d"/>
  </w:style>
  <w:style w:type="numbering" w:styleId="Estilo6" w:customStyle="1">
    <w:name w:val="Estilo6"/>
    <w:uiPriority w:val="99"/>
    <w:qFormat/>
    <w:rsid w:val="0054016d"/>
  </w:style>
  <w:style w:type="table" w:default="1" w:styleId="Tabelanormal">
    <w:name w:val="Normal Table"/>
    <w:uiPriority w:val="99"/>
    <w:semiHidden/>
    <w:unhideWhenUsed/>
    <w:tblPr>
      <w:tblCellMar>
        <w:top w:w="0" w:type="dxa"/>
        <w:left w:w="108" w:type="dxa"/>
        <w:bottom w:w="0" w:type="dxa"/>
        <w:right w:w="108" w:type="dxa"/>
      </w:tblCellMar>
    </w:tblPr>
  </w:style>
  <w:style w:type="table" w:styleId="Tabelacomgrade">
    <w:name w:val="Table Grid"/>
    <w:basedOn w:val="Tabelanormal"/>
    <w:uiPriority w:val="39"/>
    <w:rsid w:val="00db5421"/>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comments.xml.rels><?xml version="1.0" encoding="UTF-8"?>
<Relationships xmlns="http://schemas.openxmlformats.org/package/2006/relationships"><Relationship Id="rId1" Type="http://schemas.openxmlformats.org/officeDocument/2006/relationships/hyperlink" Target="mailto:cgu.modeloscontratacao@agu.gov.br" TargetMode="External"/><Relationship Id="rId2" Type="http://schemas.openxmlformats.org/officeDocument/2006/relationships/hyperlink" Target="https://www.gov.br/agu/pt-br/composicao/cgu/cgu/guias/gncs_082022.pdf" TargetMode="External"/><Relationship Id="rId3" Type="http://schemas.openxmlformats.org/officeDocument/2006/relationships/hyperlink" Target="https://www.gov.br/agu/pt-br/composicao/cgu/cgu/guias/gncs_082022.pdf" TargetMode="External"/><Relationship Id="rId4" Type="http://schemas.openxmlformats.org/officeDocument/2006/relationships/hyperlink" Target="https://www.gov.br/compras/pt-br/acesso-a-informacao/legislacao/instrucoes-normativas/instrucao-normativa-seges-me-no-81-de-25-de-novembro-de-2022" TargetMode="External"/><Relationship Id="rId5" Type="http://schemas.openxmlformats.org/officeDocument/2006/relationships/hyperlink" Target="http://www.planalto.gov.br/ccivil_03/_ato2019-2022/2021/lei/L14133.htm" TargetMode="External"/><Relationship Id="rId6" Type="http://schemas.openxmlformats.org/officeDocument/2006/relationships/hyperlink" Target="https://www.in.gov.br/en/web/dou/-/instrucao-normativa-seges-n-58-de-8-de-agosto-de-2022-421221597%23" TargetMode="External"/><Relationship Id="rId7" Type="http://schemas.openxmlformats.org/officeDocument/2006/relationships/hyperlink" Target="http://www.planalto.gov.br/ccivil_03/_ato2019-2022/2021/lei/L14133.htm" TargetMode="External"/><Relationship Id="rId8" Type="http://schemas.openxmlformats.org/officeDocument/2006/relationships/hyperlink" Target="https://www.gov.br/compras/pt-br/acesso-a-informacao/legislacao/instrucoes-normativas/instrucao-normativa-seges-me-no-73-de-30-de-setembro-de-2022" TargetMode="External"/><Relationship Id="rId9" Type="http://schemas.openxmlformats.org/officeDocument/2006/relationships/hyperlink" Target="http://www.planalto.gov.br/ccivil_03/_ato2019-2022/2021/lei/L14133.htm" TargetMode="External"/><Relationship Id="rId10" Type="http://schemas.openxmlformats.org/officeDocument/2006/relationships/hyperlink" Target="http://www.planalto.gov.br/ccivil_03/_ato2019-2022/2021/lei/L14133.htm" TargetMode="External"/><Relationship Id="rId11" Type="http://schemas.openxmlformats.org/officeDocument/2006/relationships/hyperlink" Target="https://www.gov.br/compras/pt-br/acesso-a-informacao/legislacao/instrucoes-normativas/instrucao-normativa-seges-me-no-81-de-25-de-novembro-de-2022" TargetMode="External"/><Relationship Id="rId12" Type="http://schemas.openxmlformats.org/officeDocument/2006/relationships/hyperlink" Target="https://www.gov.br/compras/pt-br/acesso-a-informacao/legislacao/instrucoes-normativas/instrucao-normativa-seges-me-no-81-de-25-de-novembro-de-2022" TargetMode="External"/><Relationship Id="rId13" Type="http://schemas.openxmlformats.org/officeDocument/2006/relationships/hyperlink" Target="https://www.gov.br/compras/pt-br/acesso-a-informacao/legislacao/instrucoes-normativas/instrucao-normativa-seges-me-no-81-de-25-de-novembro-de-2022" TargetMode="External"/><Relationship Id="rId14" Type="http://schemas.openxmlformats.org/officeDocument/2006/relationships/hyperlink" Target="http://www.planalto.gov.br/ccivil_03/_ato2019-2022/2021/lei/L14133.htm" TargetMode="External"/><Relationship Id="rId15" Type="http://schemas.openxmlformats.org/officeDocument/2006/relationships/hyperlink" Target="https://www.in.gov.br/en/web/dou/-/instrucao-normativa-seges-n-58-de-8-de-agosto-de-2022-421221597%23" TargetMode="External"/><Relationship Id="rId16" Type="http://schemas.openxmlformats.org/officeDocument/2006/relationships/hyperlink" Target="http://www.planalto.gov.br/ccivil_03/_ato2019-2022/2021/lei/L14133.htm" TargetMode="External"/><Relationship Id="rId17" Type="http://schemas.openxmlformats.org/officeDocument/2006/relationships/hyperlink" Target="https://www.planalto.gov.br/ccivil_03/_ato2019-2022/2022/Decreto/D11246.htm" TargetMode="External"/><Relationship Id="rId18" Type="http://schemas.openxmlformats.org/officeDocument/2006/relationships/hyperlink" Target="https://www.gov.br/compras/pt-br/acesso-a-informacao/legislacao/instrucoes-normativas/instrucao-normativa-seges-me-no-77-de-4-de-novembro-de-2022" TargetMode="External"/><Relationship Id="rId19" Type="http://schemas.openxmlformats.org/officeDocument/2006/relationships/hyperlink" Target="http://www.planalto.gov.br/ccivil_03/_ato2019-2022/2021/lei/L14133.htm" TargetMode="External"/><Relationship Id="rId20" Type="http://schemas.openxmlformats.org/officeDocument/2006/relationships/hyperlink" Target="https://www.gov.br/compras/pt-br/acesso-a-informacao/legislacao/instrucoes-normativas/instrucao-normativa-seges-me-no-77-de-4-de-novembro-de-2022" TargetMode="External"/><Relationship Id="rId21" Type="http://schemas.openxmlformats.org/officeDocument/2006/relationships/hyperlink" Target="https://www.gov.br/compras/pt-br/acesso-a-informacao/legislacao/instrucoes-normativas/instrucao-normativa-seges-me-no-77-de-4-de-novembro-de-2022" TargetMode="External"/><Relationship Id="rId22" Type="http://schemas.openxmlformats.org/officeDocument/2006/relationships/hyperlink" Target="http://www.planalto.gov.br/ccivil_03/_ato2019-2022/2021/lei/L14133.htm" TargetMode="External"/><Relationship Id="rId23" Type="http://schemas.openxmlformats.org/officeDocument/2006/relationships/hyperlink" Target="http://www.planalto.gov.br/ccivil_03/_ato2019-2022/2021/lei/L14133.htm" TargetMode="External"/><Relationship Id="rId24" Type="http://schemas.openxmlformats.org/officeDocument/2006/relationships/hyperlink" Target="https://www.gov.br/compras/pt-br/acesso-a-informacao/legislacao/instrucoes-normativas/instrucao-normativa-no-53-de-8-de-julho-de-2020" TargetMode="External"/><Relationship Id="rId25" Type="http://schemas.openxmlformats.org/officeDocument/2006/relationships/hyperlink" Target="https://www.gov.br/compras/pt-br/acesso-a-informacao/legislacao/instrucoes-normativas/instrucao-normativa-no-53-de-8-de-julho-de-2020" TargetMode="External"/><Relationship Id="rId26" Type="http://schemas.openxmlformats.org/officeDocument/2006/relationships/hyperlink" Target="https://www.gov.br/compras/pt-br/antecipagov" TargetMode="External"/><Relationship Id="rId27" Type="http://schemas.openxmlformats.org/officeDocument/2006/relationships/hyperlink" Target="http://www.planalto.gov.br/ccivil_03/AGU/Pareceres/2019-2022/PRC-JL-01-2020.htm" TargetMode="External"/><Relationship Id="rId28" Type="http://schemas.openxmlformats.org/officeDocument/2006/relationships/hyperlink" Target="http://www.planalto.gov.br/ccivil_03/AGU/Pareceres/2019-2022/PRC-JL-01-2020.htm" TargetMode="External"/><Relationship Id="rId29" Type="http://schemas.openxmlformats.org/officeDocument/2006/relationships/hyperlink" Target="https://www.gov.br/compras/pt-br/acesso-a-informacao/legislacao/instrucoes-normativas/instrucao-normativa-no-53-de-8-de-julho-de-2020" TargetMode="External"/><Relationship Id="rId30" Type="http://schemas.openxmlformats.org/officeDocument/2006/relationships/hyperlink" Target="https://www.planalto.gov.br/ccivil_03/constituicao/constituicao.htm" TargetMode="External"/><Relationship Id="rId31" Type="http://schemas.openxmlformats.org/officeDocument/2006/relationships/hyperlink" Target="http://www.planalto.gov.br/ccivil_03/_ato2019-2022/2021/lei/L14133.htm" TargetMode="External"/><Relationship Id="rId32" Type="http://schemas.openxmlformats.org/officeDocument/2006/relationships/hyperlink" Target="https://www.gov.br/compras/pt-br/acesso-a-informacao/legislacao/instrucoes-normativas/instrucao-normativa-seges-me-no-116-de-21-de-dezembro-de-2021" TargetMode="External"/><Relationship Id="rId33" Type="http://schemas.openxmlformats.org/officeDocument/2006/relationships/hyperlink" Target="http://www.planalto.gov.br/ccivil_03/_ato2019-2022/2021/lei/L14133.htm" TargetMode="External"/><Relationship Id="rId34" Type="http://schemas.openxmlformats.org/officeDocument/2006/relationships/hyperlink" Target="https://www.gov.br/compras/pt-br/acesso-a-informacao/legislacao/instrucoes-normativas/instrucao-normativa-seges-me-no-116-de-21-de-dezembro-de-2021" TargetMode="External"/><Relationship Id="rId35" Type="http://schemas.openxmlformats.org/officeDocument/2006/relationships/hyperlink" Target="https://www.planalto.gov.br/ccivil_03/_ato2019-2022/2022/decreto/d10977.htm" TargetMode="External"/><Relationship Id="rId36" Type="http://schemas.openxmlformats.org/officeDocument/2006/relationships/hyperlink" Target="https://www.in.gov.br/en/web/dou/-/lei-n-14.195-de-26-de-agosto-de-2021-341049135" TargetMode="External"/><Relationship Id="rId37" Type="http://schemas.openxmlformats.org/officeDocument/2006/relationships/hyperlink" Target="http://www.planalto.gov.br/ccivil_03/_ato2019-2022/2022/lei/L14382.htm" TargetMode="External"/><Relationship Id="rId38" Type="http://schemas.openxmlformats.org/officeDocument/2006/relationships/hyperlink" Target="https://legislacao.presidencia.gov.br/atos/?tipo=LEI&amp;numero=10406&amp;ano=2002&amp;ato=ac5gXVE5ENNpWT07a" TargetMode="External"/><Relationship Id="rId39" Type="http://schemas.openxmlformats.org/officeDocument/2006/relationships/hyperlink" Target="https://www.planalto.gov.br/ccivil_03/leis/l5172compilado.htm" TargetMode="External"/><Relationship Id="rId40" Type="http://schemas.openxmlformats.org/officeDocument/2006/relationships/hyperlink" Target="http://www.planalto.gov.br/ccivil_03/_ato2019-2022/2021/lei/L14133.htm" TargetMode="External"/><Relationship Id="rId41" Type="http://schemas.openxmlformats.org/officeDocument/2006/relationships/hyperlink" Target="http://www.planalto.gov.br/ccivil_03/_ato2019-2022/2021/lei/L14133.htm" TargetMode="External"/><Relationship Id="rId42" Type="http://schemas.openxmlformats.org/officeDocument/2006/relationships/hyperlink" Target="https://www.planalto.gov.br/ccivil_03/constituicao/constituicao.htm" TargetMode="External"/><Relationship Id="rId43" Type="http://schemas.openxmlformats.org/officeDocument/2006/relationships/hyperlink" Target="http://www.planalto.gov.br/ccivil_03/_ato2019-2022/2021/lei/L14133.htm" TargetMode="External"/><Relationship Id="rId44" Type="http://schemas.openxmlformats.org/officeDocument/2006/relationships/hyperlink" Target="http://www.planalto.gov.br/ccivil_03/_ato2019-2022/2021/lei/L14133.htm" TargetMode="External"/><Relationship Id="rId45" Type="http://schemas.openxmlformats.org/officeDocument/2006/relationships/hyperlink" Target="https://www.planalto.gov.br/ccivil_03/constituicao/constituicao.htm" TargetMode="External"/><Relationship Id="rId46" Type="http://schemas.openxmlformats.org/officeDocument/2006/relationships/hyperlink" Target="http://www.planalto.gov.br/ccivil_03/_ato2019-2022/2021/lei/L14133.htm" TargetMode="External"/><Relationship Id="rId47" Type="http://schemas.openxmlformats.org/officeDocument/2006/relationships/hyperlink" Target="https://www.gov.br/compras/pt-br/acesso-a-informacao/legislacao/instrucoes-normativas/instrucao-normativa-seges-me-no-116-de-21-de-dezembro-de-2021" TargetMode="External"/><Relationship Id="rId48" Type="http://schemas.openxmlformats.org/officeDocument/2006/relationships/hyperlink" Target="http://www.planalto.gov.br/ccivil_03/_ato2019-2022/2021/lei/L14133.htm" TargetMode="External"/><Relationship Id="rId49" Type="http://schemas.openxmlformats.org/officeDocument/2006/relationships/hyperlink" Target="https://sapiens.agu.gov.br/valida_publico?id=701283242" TargetMode="External"/><Relationship Id="rId50" Type="http://schemas.openxmlformats.org/officeDocument/2006/relationships/hyperlink" Target="https://antigo.agu.gov.br/page/atos/detalhe/idato/1778660" TargetMode="External"/><Relationship Id="rId51" Type="http://schemas.openxmlformats.org/officeDocument/2006/relationships/hyperlink" Target="http://www.planalto.gov.br/ccivil_03/_ato2019-2022/2021/lei/L14133.htm" TargetMode="External"/><Relationship Id="rId52" Type="http://schemas.openxmlformats.org/officeDocument/2006/relationships/hyperlink" Target="http://www.planalto.gov.br/ccivil_03/leis/l6360.htm" TargetMode="External"/><Relationship Id="rId53" Type="http://schemas.openxmlformats.org/officeDocument/2006/relationships/hyperlink" Target="http://antigo.anvisa.gov.br/documents/10181/2718376/RDC_16_2014_COMP.pdf/542cc137-b331-4596-9c87-7426c0ae77b7" TargetMode="External"/><Relationship Id="rId54" Type="http://schemas.openxmlformats.org/officeDocument/2006/relationships/hyperlink" Target="http://www.planalto.gov.br/ccivil_03/_ato2019-2022/2021/lei/L14133.htm" TargetMode="External"/><Relationship Id="rId55" Type="http://schemas.openxmlformats.org/officeDocument/2006/relationships/hyperlink" Target="https://www.gov.br/compras/pt-br/acesso-a-informacao/legislacao/instrucoes-normativas/instrucao-normativa-seges-me-no-65-de-7-de-julho-de-2021" TargetMode="External"/><Relationship Id="rId56" Type="http://schemas.openxmlformats.org/officeDocument/2006/relationships/hyperlink" Target="https://www.gov.br/compras/pt-br/acesso-a-informacao/legislacao/instrucoes-normativas/instrucao-normativa-seges-me-no-81-de-25-de-novembro-de-2022" TargetMode="External"/><Relationship Id="rId57" Type="http://schemas.openxmlformats.org/officeDocument/2006/relationships/hyperlink" Target="http://www.planalto.gov.br/ccivil_03/_ato2019-2022/2021/lei/L14133.htm" TargetMode="External"/>
</Relationship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s://in.gov.br/en/web/dou/-/instrucao-normativa-seges/me-n-77-de-4-de-novembro-de-2022-441681061" TargetMode="External"/><Relationship Id="rId4" Type="http://schemas.openxmlformats.org/officeDocument/2006/relationships/hyperlink" Target="https://www.planalto.gov.br/ccivil_03/leis/lcp/lcp123.htm" TargetMode="External"/><Relationship Id="rId5" Type="http://schemas.openxmlformats.org/officeDocument/2006/relationships/hyperlink" Target="https://www.gov.br/compras/pt-br/acesso-a-informacao/legislacao/instrucoes-normativas/instrucao-normativa-no-53-de-8-de-julho-de-2020" TargetMode="External"/><Relationship Id="rId6" Type="http://schemas.openxmlformats.org/officeDocument/2006/relationships/hyperlink" Target="http://www.planalto.gov.br/ccivil_03/AGU/Pareceres/2019-2022/PRC-JL-01-2020.htm" TargetMode="External"/><Relationship Id="rId7" Type="http://schemas.openxmlformats.org/officeDocument/2006/relationships/hyperlink" Target="http://www.portaldatransparencia.gov.br/ceis" TargetMode="External"/><Relationship Id="rId8" Type="http://schemas.openxmlformats.org/officeDocument/2006/relationships/hyperlink" Target="https://www.portaltransparencia.gov.br/sancoes/cnep" TargetMode="External"/><Relationship Id="rId9" Type="http://schemas.openxmlformats.org/officeDocument/2006/relationships/hyperlink" Target="https://www.gov.br/empresas-e-negocios/pt-br/empreendedor" TargetMode="External"/><Relationship Id="rId10" Type="http://schemas.openxmlformats.org/officeDocument/2006/relationships/hyperlink" Target="https://www.gov.br/economia/pt-br/assuntos/drei/legislacao/arquivos/legislacoes-federais/indrei772020.pdf" TargetMode="External"/><Relationship Id="rId11" Type="http://schemas.openxmlformats.org/officeDocument/2006/relationships/hyperlink" Target="https://www.gov.br/trabalho-e-previdencia/pt-br/servicos/empregador/programa-de-alimentacao-do-trabalhador-pat/arquivos-legislacao/instrucoes-normativas/pat_in_971_2009.pdf" TargetMode="External"/><Relationship Id="rId12" Type="http://schemas.openxmlformats.org/officeDocument/2006/relationships/header" Target="header1.xml"/><Relationship Id="rId13" Type="http://schemas.openxmlformats.org/officeDocument/2006/relationships/footer" Target="footer1.xml"/><Relationship Id="rId14" Type="http://schemas.openxmlformats.org/officeDocument/2006/relationships/comments" Target="comments.xml"/><Relationship Id="rId15" Type="http://schemas.openxmlformats.org/officeDocument/2006/relationships/numbering" Target="numbering.xml"/><Relationship Id="rId16" Type="http://schemas.openxmlformats.org/officeDocument/2006/relationships/fontTable" Target="fontTable.xml"/><Relationship Id="rId17" Type="http://schemas.openxmlformats.org/officeDocument/2006/relationships/settings" Target="settings.xml"/><Relationship Id="rId18" Type="http://schemas.openxmlformats.org/officeDocument/2006/relationships/theme" Target="theme/theme1.xml"/><Relationship Id="rId19" Type="http://schemas.openxmlformats.org/officeDocument/2006/relationships/customXml" Target="../customXml/item1.xml"/><Relationship Id="rId20" Type="http://schemas.openxmlformats.org/officeDocument/2006/relationships/customXml" Target="../customXml/item2.xml"/><Relationship Id="rId21" Type="http://schemas.openxmlformats.org/officeDocument/2006/relationships/customXml" Target="../customXml/item3.xml"/><Relationship Id="rId22" Type="http://schemas.openxmlformats.org/officeDocument/2006/relationships/customXml" Target="../customXml/item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2A2765E7DFD38469B2E626874CD0041" ma:contentTypeVersion="11" ma:contentTypeDescription="Create a new document." ma:contentTypeScope="" ma:versionID="e70127738e827533416543845b966220">
  <xsd:schema xmlns:xsd="http://www.w3.org/2001/XMLSchema" xmlns:xs="http://www.w3.org/2001/XMLSchema" xmlns:p="http://schemas.microsoft.com/office/2006/metadata/properties" xmlns:ns2="52c93ea8-e2de-466c-b401-d7fabeb9490e" xmlns:ns3="d7c48ea4-4748-4e79-bb61-d51d73419c91" targetNamespace="http://schemas.microsoft.com/office/2006/metadata/properties" ma:root="true" ma:fieldsID="e774a8ad599c2eba4965911a776cf057" ns2:_="" ns3:_="">
    <xsd:import namespace="52c93ea8-e2de-466c-b401-d7fabeb9490e"/>
    <xsd:import namespace="d7c48ea4-4748-4e79-bb61-d51d73419c9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7c48ea4-4748-4e79-bb61-d51d73419c91"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D0D7D2D-37BA-482C-A228-E77C41190B8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BFCC715-7F20-41B2-A569-BB496D3BE5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d7c48ea4-4748-4e79-bb61-d51d73419c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9770E97-A9EC-45EB-8CB9-45E57FCA1012}">
  <ds:schemaRefs>
    <ds:schemaRef ds:uri="http://schemas.openxmlformats.org/officeDocument/2006/bibliography"/>
  </ds:schemaRefs>
</ds:datastoreItem>
</file>

<file path=customXml/itemProps4.xml><?xml version="1.0" encoding="utf-8"?>
<ds:datastoreItem xmlns:ds="http://schemas.openxmlformats.org/officeDocument/2006/customXml" ds:itemID="{58D91C4F-6E30-4B53-AA1B-A13F843D461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167</TotalTime>
  <Application>LibreOffice/7.0.6.2$Windows_X86_64 LibreOffice_project/144abb84a525d8e30c9dbbefa69cbbf2d8d4ae3b</Application>
  <AppVersion>15.0000</AppVersion>
  <Pages>13</Pages>
  <Words>5081</Words>
  <Characters>28754</Characters>
  <CharactersWithSpaces>33489</CharactersWithSpaces>
  <Paragraphs>252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2023-08-29T19:28:00Z</dcterms:created>
  <dc:creator/>
  <dc:description/>
  <dc:language>pt-BR</dc:language>
  <cp:lastModifiedBy/>
  <dcterms:modified xsi:type="dcterms:W3CDTF">2024-04-11T12:17:39Z</dcterms:modified>
  <cp:revision>108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